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6B26" w14:textId="77777777" w:rsidR="008312AA" w:rsidRDefault="008312AA">
      <w:pPr>
        <w:spacing w:line="276" w:lineRule="auto"/>
        <w:rPr>
          <w:rFonts w:ascii="Times New Roman" w:hAnsi="Times New Roman" w:cs="Times New Roman"/>
        </w:rPr>
      </w:pPr>
    </w:p>
    <w:p w14:paraId="61568218" w14:textId="77777777" w:rsidR="008312AA" w:rsidRDefault="008312AA">
      <w:pPr>
        <w:spacing w:line="276" w:lineRule="auto"/>
        <w:rPr>
          <w:rFonts w:ascii="Times New Roman" w:hAnsi="Times New Roman" w:cs="Times New Roman"/>
        </w:rPr>
      </w:pPr>
    </w:p>
    <w:p w14:paraId="4EC9C522" w14:textId="77777777" w:rsidR="008312AA" w:rsidRDefault="008312AA">
      <w:pPr>
        <w:spacing w:line="276" w:lineRule="auto"/>
        <w:rPr>
          <w:rFonts w:ascii="Times New Roman" w:hAnsi="Times New Roman" w:cs="Times New Roman"/>
        </w:rPr>
      </w:pPr>
    </w:p>
    <w:p w14:paraId="2D9C9134" w14:textId="77777777" w:rsidR="008312AA" w:rsidRDefault="00000000">
      <w:pPr>
        <w:spacing w:line="276" w:lineRule="auto"/>
        <w:jc w:val="center"/>
        <w:rPr>
          <w:rFonts w:ascii="Times New Roman" w:hAnsi="Times New Roman" w:cs="Times New Roman"/>
        </w:rPr>
      </w:pPr>
      <w:r>
        <w:rPr>
          <w:noProof/>
        </w:rPr>
        <w:drawing>
          <wp:inline distT="0" distB="0" distL="0" distR="0" wp14:anchorId="1B020295" wp14:editId="3729DF5A">
            <wp:extent cx="2706370" cy="1362075"/>
            <wp:effectExtent l="0" t="0" r="0" b="0"/>
            <wp:docPr id="1" name="Pilt 12926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29266782"/>
                    <pic:cNvPicPr>
                      <a:picLocks noChangeAspect="1" noChangeArrowheads="1"/>
                    </pic:cNvPicPr>
                  </pic:nvPicPr>
                  <pic:blipFill>
                    <a:blip r:embed="rId8"/>
                    <a:stretch>
                      <a:fillRect/>
                    </a:stretch>
                  </pic:blipFill>
                  <pic:spPr bwMode="auto">
                    <a:xfrm>
                      <a:off x="0" y="0"/>
                      <a:ext cx="2706370" cy="1362075"/>
                    </a:xfrm>
                    <a:prstGeom prst="rect">
                      <a:avLst/>
                    </a:prstGeom>
                  </pic:spPr>
                </pic:pic>
              </a:graphicData>
            </a:graphic>
          </wp:inline>
        </w:drawing>
      </w:r>
    </w:p>
    <w:p w14:paraId="6A7B4849" w14:textId="77777777" w:rsidR="008312AA" w:rsidRDefault="008312AA">
      <w:pPr>
        <w:spacing w:line="276" w:lineRule="auto"/>
        <w:rPr>
          <w:rFonts w:ascii="Times New Roman" w:hAnsi="Times New Roman" w:cs="Times New Roman"/>
        </w:rPr>
      </w:pPr>
    </w:p>
    <w:p w14:paraId="169114E7" w14:textId="77777777" w:rsidR="008312AA" w:rsidRDefault="008312AA">
      <w:pPr>
        <w:spacing w:line="276" w:lineRule="auto"/>
        <w:rPr>
          <w:rFonts w:ascii="Times New Roman" w:hAnsi="Times New Roman" w:cs="Times New Roman"/>
        </w:rPr>
      </w:pPr>
    </w:p>
    <w:p w14:paraId="56DBA979" w14:textId="77777777" w:rsidR="008312AA" w:rsidRDefault="008312AA">
      <w:pPr>
        <w:spacing w:line="276" w:lineRule="auto"/>
        <w:rPr>
          <w:rFonts w:ascii="Times New Roman" w:hAnsi="Times New Roman" w:cs="Times New Roman"/>
        </w:rPr>
      </w:pPr>
    </w:p>
    <w:p w14:paraId="440172B4" w14:textId="77777777" w:rsidR="008312AA" w:rsidRDefault="00000000">
      <w:pPr>
        <w:spacing w:line="276" w:lineRule="auto"/>
        <w:jc w:val="center"/>
        <w:rPr>
          <w:rFonts w:ascii="Times New Roman" w:hAnsi="Times New Roman" w:cs="Times New Roman"/>
          <w:color w:val="0070C0"/>
          <w:sz w:val="52"/>
          <w:szCs w:val="52"/>
        </w:rPr>
      </w:pPr>
      <w:r>
        <w:rPr>
          <w:rFonts w:ascii="Times New Roman" w:hAnsi="Times New Roman" w:cs="Times New Roman"/>
          <w:color w:val="0070C0"/>
          <w:sz w:val="52"/>
          <w:szCs w:val="52"/>
        </w:rPr>
        <w:t>SAAREMAA KALANDUSPIIRKONNA STRATEEGIA 2021–2027+</w:t>
      </w:r>
    </w:p>
    <w:p w14:paraId="069A44E0" w14:textId="77777777" w:rsidR="008312AA" w:rsidRDefault="008312AA">
      <w:pPr>
        <w:spacing w:line="276" w:lineRule="auto"/>
        <w:rPr>
          <w:rFonts w:ascii="Times New Roman" w:hAnsi="Times New Roman" w:cs="Times New Roman"/>
        </w:rPr>
      </w:pPr>
    </w:p>
    <w:p w14:paraId="675104EA" w14:textId="77777777" w:rsidR="008312AA" w:rsidRDefault="008312AA">
      <w:pPr>
        <w:spacing w:line="276" w:lineRule="auto"/>
        <w:rPr>
          <w:rFonts w:ascii="Times New Roman" w:hAnsi="Times New Roman" w:cs="Times New Roman"/>
        </w:rPr>
      </w:pPr>
    </w:p>
    <w:p w14:paraId="2A36600C" w14:textId="77777777" w:rsidR="008312AA" w:rsidRDefault="008312AA">
      <w:pPr>
        <w:spacing w:line="276" w:lineRule="auto"/>
        <w:rPr>
          <w:rFonts w:ascii="Times New Roman" w:hAnsi="Times New Roman" w:cs="Times New Roman"/>
        </w:rPr>
      </w:pPr>
    </w:p>
    <w:p w14:paraId="030F7A70" w14:textId="77777777" w:rsidR="008312AA" w:rsidRDefault="008312AA">
      <w:pPr>
        <w:spacing w:line="276" w:lineRule="auto"/>
        <w:rPr>
          <w:rFonts w:ascii="Times New Roman" w:hAnsi="Times New Roman" w:cs="Times New Roman"/>
        </w:rPr>
      </w:pPr>
    </w:p>
    <w:p w14:paraId="03D8D882" w14:textId="77777777" w:rsidR="008312AA" w:rsidRDefault="008312AA">
      <w:pPr>
        <w:spacing w:line="276" w:lineRule="auto"/>
        <w:rPr>
          <w:rFonts w:ascii="Times New Roman" w:hAnsi="Times New Roman" w:cs="Times New Roman"/>
        </w:rPr>
      </w:pPr>
    </w:p>
    <w:p w14:paraId="30F6A116" w14:textId="77777777" w:rsidR="008312AA" w:rsidRDefault="00000000">
      <w:pPr>
        <w:spacing w:line="276" w:lineRule="auto"/>
        <w:jc w:val="center"/>
        <w:rPr>
          <w:rFonts w:ascii="Times New Roman" w:hAnsi="Times New Roman" w:cs="Times New Roman"/>
        </w:rPr>
      </w:pPr>
      <w:r>
        <w:rPr>
          <w:noProof/>
        </w:rPr>
        <w:drawing>
          <wp:inline distT="0" distB="0" distL="0" distR="0" wp14:anchorId="5C6A55A3" wp14:editId="7664352A">
            <wp:extent cx="2900680" cy="1200150"/>
            <wp:effectExtent l="0" t="0" r="0" b="0"/>
            <wp:docPr id="2" name="Pilt 1175195431" descr="saartekala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175195431" descr="saartekalandus"/>
                    <pic:cNvPicPr>
                      <a:picLocks noChangeAspect="1" noChangeArrowheads="1"/>
                    </pic:cNvPicPr>
                  </pic:nvPicPr>
                  <pic:blipFill>
                    <a:blip r:embed="rId9"/>
                    <a:stretch>
                      <a:fillRect/>
                    </a:stretch>
                  </pic:blipFill>
                  <pic:spPr bwMode="auto">
                    <a:xfrm>
                      <a:off x="0" y="0"/>
                      <a:ext cx="2900680" cy="1200150"/>
                    </a:xfrm>
                    <a:prstGeom prst="rect">
                      <a:avLst/>
                    </a:prstGeom>
                  </pic:spPr>
                </pic:pic>
              </a:graphicData>
            </a:graphic>
          </wp:inline>
        </w:drawing>
      </w:r>
    </w:p>
    <w:p w14:paraId="008E99C2" w14:textId="77777777" w:rsidR="008312AA" w:rsidRDefault="008312AA">
      <w:pPr>
        <w:spacing w:line="276" w:lineRule="auto"/>
        <w:rPr>
          <w:rFonts w:ascii="Times New Roman" w:hAnsi="Times New Roman" w:cs="Times New Roman"/>
        </w:rPr>
      </w:pPr>
    </w:p>
    <w:p w14:paraId="79AD6AB9" w14:textId="77777777" w:rsidR="008312AA" w:rsidRDefault="008312AA">
      <w:pPr>
        <w:spacing w:line="276" w:lineRule="auto"/>
        <w:rPr>
          <w:rFonts w:ascii="Times New Roman" w:hAnsi="Times New Roman" w:cs="Times New Roman"/>
        </w:rPr>
      </w:pPr>
    </w:p>
    <w:p w14:paraId="0CE42918" w14:textId="77777777" w:rsidR="008312AA" w:rsidRDefault="008312AA">
      <w:pPr>
        <w:spacing w:line="276" w:lineRule="auto"/>
        <w:rPr>
          <w:rFonts w:ascii="Times New Roman" w:hAnsi="Times New Roman" w:cs="Times New Roman"/>
        </w:rPr>
      </w:pPr>
    </w:p>
    <w:p w14:paraId="280937F1" w14:textId="77777777" w:rsidR="008312AA" w:rsidRDefault="008312AA">
      <w:pPr>
        <w:spacing w:line="276" w:lineRule="auto"/>
        <w:rPr>
          <w:rFonts w:ascii="Times New Roman" w:hAnsi="Times New Roman" w:cs="Times New Roman"/>
        </w:rPr>
      </w:pPr>
    </w:p>
    <w:p w14:paraId="04B3D133" w14:textId="77777777" w:rsidR="008312AA" w:rsidRDefault="008312AA">
      <w:pPr>
        <w:spacing w:line="276" w:lineRule="auto"/>
        <w:rPr>
          <w:rFonts w:ascii="Times New Roman" w:hAnsi="Times New Roman" w:cs="Times New Roman"/>
        </w:rPr>
      </w:pPr>
    </w:p>
    <w:p w14:paraId="016D514C" w14:textId="77777777" w:rsidR="008312AA" w:rsidRDefault="008312AA">
      <w:pPr>
        <w:spacing w:line="276" w:lineRule="auto"/>
        <w:rPr>
          <w:rFonts w:ascii="Times New Roman" w:hAnsi="Times New Roman" w:cs="Times New Roman"/>
        </w:rPr>
      </w:pPr>
    </w:p>
    <w:p w14:paraId="59D473D3" w14:textId="77777777" w:rsidR="008312AA" w:rsidRDefault="00000000">
      <w:pPr>
        <w:spacing w:line="276" w:lineRule="auto"/>
        <w:jc w:val="center"/>
        <w:rPr>
          <w:rFonts w:ascii="Times New Roman" w:hAnsi="Times New Roman" w:cs="Times New Roman"/>
        </w:rPr>
      </w:pPr>
      <w:r>
        <w:rPr>
          <w:rFonts w:ascii="Times New Roman" w:hAnsi="Times New Roman" w:cs="Times New Roman"/>
        </w:rPr>
        <w:t>Kuressaare 2024</w:t>
      </w:r>
      <w:r>
        <w:br w:type="page"/>
      </w:r>
    </w:p>
    <w:p w14:paraId="466C4DBB" w14:textId="77777777" w:rsidR="008312AA" w:rsidRDefault="00000000">
      <w:pPr>
        <w:keepNext/>
        <w:spacing w:after="160" w:line="259" w:lineRule="auto"/>
        <w:rPr>
          <w:rFonts w:ascii="Times New Roman" w:hAnsi="Times New Roman" w:cs="Times New Roman"/>
        </w:rPr>
      </w:pPr>
      <w:r>
        <w:rPr>
          <w:rFonts w:ascii="Times New Roman" w:eastAsia="Times New Roman" w:hAnsi="Times New Roman" w:cs="Times New Roman"/>
          <w:b/>
        </w:rPr>
        <w:lastRenderedPageBreak/>
        <w:t>Saaremaa kalanduspiirkonna strateegia 2021–2027+</w:t>
      </w:r>
    </w:p>
    <w:p w14:paraId="43EEC95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Koostaja: MTÜ Saarte Kalandus</w:t>
      </w:r>
    </w:p>
    <w:p w14:paraId="3AAED03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Konsultant: OÜ </w:t>
      </w:r>
      <w:proofErr w:type="spellStart"/>
      <w:r>
        <w:rPr>
          <w:rFonts w:ascii="Times New Roman" w:eastAsia="Times New Roman" w:hAnsi="Times New Roman" w:cs="Times New Roman"/>
        </w:rPr>
        <w:t>Cumulus</w:t>
      </w:r>
      <w:proofErr w:type="spellEnd"/>
      <w:r>
        <w:rPr>
          <w:rFonts w:ascii="Times New Roman" w:eastAsia="Times New Roman" w:hAnsi="Times New Roman" w:cs="Times New Roman"/>
        </w:rPr>
        <w:t xml:space="preserve"> Consulting</w:t>
      </w:r>
    </w:p>
    <w:p w14:paraId="5F77B8D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Kinnitatud: üldkoosoleku otsusega ...</w:t>
      </w:r>
    </w:p>
    <w:p w14:paraId="0EFB9DB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Muudetud: </w:t>
      </w:r>
    </w:p>
    <w:p w14:paraId="65DDA455" w14:textId="77777777" w:rsidR="008312AA" w:rsidRDefault="008312AA">
      <w:pPr>
        <w:spacing w:line="276" w:lineRule="auto"/>
        <w:rPr>
          <w:rFonts w:ascii="Times New Roman" w:eastAsia="Times New Roman" w:hAnsi="Times New Roman" w:cs="Times New Roman"/>
        </w:rPr>
      </w:pPr>
    </w:p>
    <w:p w14:paraId="02F63596" w14:textId="77777777" w:rsidR="008312AA" w:rsidRDefault="008312AA">
      <w:pPr>
        <w:spacing w:after="160" w:line="259" w:lineRule="auto"/>
        <w:rPr>
          <w:rFonts w:ascii="Times New Roman" w:hAnsi="Times New Roman" w:cs="Times New Roman"/>
        </w:rPr>
      </w:pPr>
    </w:p>
    <w:sdt>
      <w:sdtPr>
        <w:rPr>
          <w:rFonts w:ascii="Corbel" w:eastAsia="Corbel" w:hAnsi="Corbel" w:cs="Corbel"/>
          <w:color w:val="auto"/>
          <w:sz w:val="24"/>
          <w:szCs w:val="24"/>
        </w:rPr>
        <w:id w:val="811219112"/>
        <w:docPartObj>
          <w:docPartGallery w:val="Table of Contents"/>
          <w:docPartUnique/>
        </w:docPartObj>
      </w:sdtPr>
      <w:sdtContent>
        <w:p w14:paraId="3A7273C4" w14:textId="77777777" w:rsidR="008312AA" w:rsidRDefault="00000000">
          <w:pPr>
            <w:pStyle w:val="Sisukorrapealkiri"/>
            <w:spacing w:before="0"/>
            <w:jc w:val="both"/>
            <w:rPr>
              <w:rFonts w:ascii="Times New Roman" w:hAnsi="Times New Roman" w:cs="Times New Roman"/>
              <w:color w:val="auto"/>
              <w:sz w:val="24"/>
              <w:szCs w:val="24"/>
            </w:rPr>
          </w:pPr>
          <w:r>
            <w:br w:type="page"/>
          </w:r>
          <w:r>
            <w:rPr>
              <w:rFonts w:ascii="Times New Roman" w:hAnsi="Times New Roman" w:cs="Times New Roman"/>
              <w:color w:val="auto"/>
              <w:sz w:val="24"/>
              <w:szCs w:val="24"/>
            </w:rPr>
            <w:lastRenderedPageBreak/>
            <w:t>Sisukord</w:t>
          </w:r>
        </w:p>
        <w:p w14:paraId="4836415B" w14:textId="57D950E1" w:rsidR="00B411B4" w:rsidRDefault="00000000">
          <w:pPr>
            <w:pStyle w:val="SK1"/>
            <w:rPr>
              <w:rFonts w:asciiTheme="minorHAnsi" w:eastAsiaTheme="minorEastAsia" w:hAnsiTheme="minorHAnsi" w:cstheme="minorBidi"/>
              <w:b w:val="0"/>
              <w:bCs w:val="0"/>
              <w:noProof/>
              <w:kern w:val="2"/>
              <w:sz w:val="22"/>
              <w:szCs w:val="22"/>
              <w14:ligatures w14:val="standardContextual"/>
            </w:rPr>
          </w:pPr>
          <w:r>
            <w:fldChar w:fldCharType="begin"/>
          </w:r>
          <w:r>
            <w:rPr>
              <w:rStyle w:val="Registrilink"/>
              <w:webHidden/>
            </w:rPr>
            <w:instrText xml:space="preserve"> TOC \z \o "1-3" \u \h</w:instrText>
          </w:r>
          <w:r>
            <w:rPr>
              <w:rStyle w:val="Registrilink"/>
            </w:rPr>
            <w:fldChar w:fldCharType="separate"/>
          </w:r>
          <w:hyperlink w:anchor="_Toc157420923" w:history="1">
            <w:r w:rsidR="00B411B4" w:rsidRPr="00F91FE9">
              <w:rPr>
                <w:rStyle w:val="Hperlink"/>
                <w:noProof/>
              </w:rPr>
              <w:t>Sissejuhatus</w:t>
            </w:r>
            <w:r w:rsidR="00B411B4">
              <w:rPr>
                <w:noProof/>
                <w:webHidden/>
              </w:rPr>
              <w:tab/>
            </w:r>
            <w:r w:rsidR="00B411B4">
              <w:rPr>
                <w:noProof/>
                <w:webHidden/>
              </w:rPr>
              <w:fldChar w:fldCharType="begin"/>
            </w:r>
            <w:r w:rsidR="00B411B4">
              <w:rPr>
                <w:noProof/>
                <w:webHidden/>
              </w:rPr>
              <w:instrText xml:space="preserve"> PAGEREF _Toc157420923 \h </w:instrText>
            </w:r>
            <w:r w:rsidR="00B411B4">
              <w:rPr>
                <w:noProof/>
                <w:webHidden/>
              </w:rPr>
            </w:r>
            <w:r w:rsidR="00B411B4">
              <w:rPr>
                <w:noProof/>
                <w:webHidden/>
              </w:rPr>
              <w:fldChar w:fldCharType="separate"/>
            </w:r>
            <w:r w:rsidR="009D53B4">
              <w:rPr>
                <w:noProof/>
                <w:webHidden/>
              </w:rPr>
              <w:t>6</w:t>
            </w:r>
            <w:r w:rsidR="00B411B4">
              <w:rPr>
                <w:noProof/>
                <w:webHidden/>
              </w:rPr>
              <w:fldChar w:fldCharType="end"/>
            </w:r>
          </w:hyperlink>
        </w:p>
        <w:p w14:paraId="647608AA" w14:textId="7464CB6D"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24" w:history="1">
            <w:r w:rsidR="00B411B4" w:rsidRPr="00F91FE9">
              <w:rPr>
                <w:rStyle w:val="Hperlink"/>
                <w:noProof/>
              </w:rPr>
              <w:t>Saaremaa kalanduspiirkonna strateegia 2021- 2027+ kokkuvõte</w:t>
            </w:r>
            <w:r w:rsidR="00B411B4">
              <w:rPr>
                <w:noProof/>
                <w:webHidden/>
              </w:rPr>
              <w:tab/>
            </w:r>
            <w:r w:rsidR="00B411B4">
              <w:rPr>
                <w:noProof/>
                <w:webHidden/>
              </w:rPr>
              <w:fldChar w:fldCharType="begin"/>
            </w:r>
            <w:r w:rsidR="00B411B4">
              <w:rPr>
                <w:noProof/>
                <w:webHidden/>
              </w:rPr>
              <w:instrText xml:space="preserve"> PAGEREF _Toc157420924 \h </w:instrText>
            </w:r>
            <w:r w:rsidR="00B411B4">
              <w:rPr>
                <w:noProof/>
                <w:webHidden/>
              </w:rPr>
            </w:r>
            <w:r w:rsidR="00B411B4">
              <w:rPr>
                <w:noProof/>
                <w:webHidden/>
              </w:rPr>
              <w:fldChar w:fldCharType="separate"/>
            </w:r>
            <w:r w:rsidR="009D53B4">
              <w:rPr>
                <w:noProof/>
                <w:webHidden/>
              </w:rPr>
              <w:t>8</w:t>
            </w:r>
            <w:r w:rsidR="00B411B4">
              <w:rPr>
                <w:noProof/>
                <w:webHidden/>
              </w:rPr>
              <w:fldChar w:fldCharType="end"/>
            </w:r>
          </w:hyperlink>
        </w:p>
        <w:p w14:paraId="1F373BF9" w14:textId="0E2C73FC"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25" w:history="1">
            <w:r w:rsidR="00B411B4" w:rsidRPr="00F91FE9">
              <w:rPr>
                <w:rStyle w:val="Hperlink"/>
                <w:noProof/>
              </w:rPr>
              <w:t>1. Lähteolukorra ülevaade</w:t>
            </w:r>
            <w:r w:rsidR="00B411B4">
              <w:rPr>
                <w:noProof/>
                <w:webHidden/>
              </w:rPr>
              <w:tab/>
            </w:r>
            <w:r w:rsidR="00B411B4">
              <w:rPr>
                <w:noProof/>
                <w:webHidden/>
              </w:rPr>
              <w:fldChar w:fldCharType="begin"/>
            </w:r>
            <w:r w:rsidR="00B411B4">
              <w:rPr>
                <w:noProof/>
                <w:webHidden/>
              </w:rPr>
              <w:instrText xml:space="preserve"> PAGEREF _Toc157420925 \h </w:instrText>
            </w:r>
            <w:r w:rsidR="00B411B4">
              <w:rPr>
                <w:noProof/>
                <w:webHidden/>
              </w:rPr>
            </w:r>
            <w:r w:rsidR="00B411B4">
              <w:rPr>
                <w:noProof/>
                <w:webHidden/>
              </w:rPr>
              <w:fldChar w:fldCharType="separate"/>
            </w:r>
            <w:r w:rsidR="009D53B4">
              <w:rPr>
                <w:noProof/>
                <w:webHidden/>
              </w:rPr>
              <w:t>13</w:t>
            </w:r>
            <w:r w:rsidR="00B411B4">
              <w:rPr>
                <w:noProof/>
                <w:webHidden/>
              </w:rPr>
              <w:fldChar w:fldCharType="end"/>
            </w:r>
          </w:hyperlink>
        </w:p>
        <w:p w14:paraId="25048D9C" w14:textId="3BF0BA4A"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26" w:history="1">
            <w:r w:rsidR="00B411B4" w:rsidRPr="00F91FE9">
              <w:rPr>
                <w:rStyle w:val="Hperlink"/>
                <w:noProof/>
              </w:rPr>
              <w:t>1.1. Piirkonna iseloomustus</w:t>
            </w:r>
            <w:r w:rsidR="00B411B4">
              <w:rPr>
                <w:noProof/>
                <w:webHidden/>
              </w:rPr>
              <w:tab/>
            </w:r>
            <w:r w:rsidR="00B411B4">
              <w:rPr>
                <w:noProof/>
                <w:webHidden/>
              </w:rPr>
              <w:fldChar w:fldCharType="begin"/>
            </w:r>
            <w:r w:rsidR="00B411B4">
              <w:rPr>
                <w:noProof/>
                <w:webHidden/>
              </w:rPr>
              <w:instrText xml:space="preserve"> PAGEREF _Toc157420926 \h </w:instrText>
            </w:r>
            <w:r w:rsidR="00B411B4">
              <w:rPr>
                <w:noProof/>
                <w:webHidden/>
              </w:rPr>
            </w:r>
            <w:r w:rsidR="00B411B4">
              <w:rPr>
                <w:noProof/>
                <w:webHidden/>
              </w:rPr>
              <w:fldChar w:fldCharType="separate"/>
            </w:r>
            <w:r w:rsidR="009D53B4">
              <w:rPr>
                <w:noProof/>
                <w:webHidden/>
              </w:rPr>
              <w:t>13</w:t>
            </w:r>
            <w:r w:rsidR="00B411B4">
              <w:rPr>
                <w:noProof/>
                <w:webHidden/>
              </w:rPr>
              <w:fldChar w:fldCharType="end"/>
            </w:r>
          </w:hyperlink>
        </w:p>
        <w:p w14:paraId="3AB95E75" w14:textId="0CA1497B"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27" w:history="1">
            <w:r w:rsidR="00B411B4" w:rsidRPr="00F91FE9">
              <w:rPr>
                <w:rStyle w:val="Hperlink"/>
                <w:rFonts w:ascii="Times New Roman" w:hAnsi="Times New Roman" w:cs="Times New Roman"/>
                <w:noProof/>
              </w:rPr>
              <w:t>1.1.1. Rahvastik</w:t>
            </w:r>
            <w:r w:rsidR="00B411B4">
              <w:rPr>
                <w:noProof/>
                <w:webHidden/>
              </w:rPr>
              <w:tab/>
            </w:r>
            <w:r w:rsidR="00B411B4">
              <w:rPr>
                <w:noProof/>
                <w:webHidden/>
              </w:rPr>
              <w:fldChar w:fldCharType="begin"/>
            </w:r>
            <w:r w:rsidR="00B411B4">
              <w:rPr>
                <w:noProof/>
                <w:webHidden/>
              </w:rPr>
              <w:instrText xml:space="preserve"> PAGEREF _Toc157420927 \h </w:instrText>
            </w:r>
            <w:r w:rsidR="00B411B4">
              <w:rPr>
                <w:noProof/>
                <w:webHidden/>
              </w:rPr>
            </w:r>
            <w:r w:rsidR="00B411B4">
              <w:rPr>
                <w:noProof/>
                <w:webHidden/>
              </w:rPr>
              <w:fldChar w:fldCharType="separate"/>
            </w:r>
            <w:r w:rsidR="009D53B4">
              <w:rPr>
                <w:noProof/>
                <w:webHidden/>
              </w:rPr>
              <w:t>13</w:t>
            </w:r>
            <w:r w:rsidR="00B411B4">
              <w:rPr>
                <w:noProof/>
                <w:webHidden/>
              </w:rPr>
              <w:fldChar w:fldCharType="end"/>
            </w:r>
          </w:hyperlink>
        </w:p>
        <w:p w14:paraId="74697E99" w14:textId="0B31A7D6"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28" w:history="1">
            <w:r w:rsidR="00B411B4" w:rsidRPr="00F91FE9">
              <w:rPr>
                <w:rStyle w:val="Hperlink"/>
                <w:rFonts w:ascii="Times New Roman" w:eastAsia="Times New Roman" w:hAnsi="Times New Roman" w:cs="Times New Roman"/>
                <w:noProof/>
              </w:rPr>
              <w:t>1.1.2. Tööhõive</w:t>
            </w:r>
            <w:r w:rsidR="00B411B4">
              <w:rPr>
                <w:noProof/>
                <w:webHidden/>
              </w:rPr>
              <w:tab/>
            </w:r>
            <w:r w:rsidR="00B411B4">
              <w:rPr>
                <w:noProof/>
                <w:webHidden/>
              </w:rPr>
              <w:fldChar w:fldCharType="begin"/>
            </w:r>
            <w:r w:rsidR="00B411B4">
              <w:rPr>
                <w:noProof/>
                <w:webHidden/>
              </w:rPr>
              <w:instrText xml:space="preserve"> PAGEREF _Toc157420928 \h </w:instrText>
            </w:r>
            <w:r w:rsidR="00B411B4">
              <w:rPr>
                <w:noProof/>
                <w:webHidden/>
              </w:rPr>
            </w:r>
            <w:r w:rsidR="00B411B4">
              <w:rPr>
                <w:noProof/>
                <w:webHidden/>
              </w:rPr>
              <w:fldChar w:fldCharType="separate"/>
            </w:r>
            <w:r w:rsidR="009D53B4">
              <w:rPr>
                <w:noProof/>
                <w:webHidden/>
              </w:rPr>
              <w:t>17</w:t>
            </w:r>
            <w:r w:rsidR="00B411B4">
              <w:rPr>
                <w:noProof/>
                <w:webHidden/>
              </w:rPr>
              <w:fldChar w:fldCharType="end"/>
            </w:r>
          </w:hyperlink>
        </w:p>
        <w:p w14:paraId="0E2ABA75" w14:textId="28A1DFC1"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29" w:history="1">
            <w:r w:rsidR="00B411B4" w:rsidRPr="00F91FE9">
              <w:rPr>
                <w:rStyle w:val="Hperlink"/>
                <w:rFonts w:ascii="Times New Roman" w:hAnsi="Times New Roman" w:cs="Times New Roman"/>
                <w:noProof/>
              </w:rPr>
              <w:t>1.1.3. Ettevõtluskeskkond</w:t>
            </w:r>
            <w:r w:rsidR="00B411B4">
              <w:rPr>
                <w:noProof/>
                <w:webHidden/>
              </w:rPr>
              <w:tab/>
            </w:r>
            <w:r w:rsidR="00B411B4">
              <w:rPr>
                <w:noProof/>
                <w:webHidden/>
              </w:rPr>
              <w:fldChar w:fldCharType="begin"/>
            </w:r>
            <w:r w:rsidR="00B411B4">
              <w:rPr>
                <w:noProof/>
                <w:webHidden/>
              </w:rPr>
              <w:instrText xml:space="preserve"> PAGEREF _Toc157420929 \h </w:instrText>
            </w:r>
            <w:r w:rsidR="00B411B4">
              <w:rPr>
                <w:noProof/>
                <w:webHidden/>
              </w:rPr>
            </w:r>
            <w:r w:rsidR="00B411B4">
              <w:rPr>
                <w:noProof/>
                <w:webHidden/>
              </w:rPr>
              <w:fldChar w:fldCharType="separate"/>
            </w:r>
            <w:r w:rsidR="009D53B4">
              <w:rPr>
                <w:noProof/>
                <w:webHidden/>
              </w:rPr>
              <w:t>18</w:t>
            </w:r>
            <w:r w:rsidR="00B411B4">
              <w:rPr>
                <w:noProof/>
                <w:webHidden/>
              </w:rPr>
              <w:fldChar w:fldCharType="end"/>
            </w:r>
          </w:hyperlink>
        </w:p>
        <w:p w14:paraId="183FCC2F" w14:textId="72B0D457"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0" w:history="1">
            <w:r w:rsidR="00B411B4" w:rsidRPr="00F91FE9">
              <w:rPr>
                <w:rStyle w:val="Hperlink"/>
                <w:rFonts w:ascii="Times New Roman" w:hAnsi="Times New Roman" w:cs="Times New Roman"/>
                <w:noProof/>
              </w:rPr>
              <w:t>1.1.4. Kaitstavad loodusobjektid</w:t>
            </w:r>
            <w:r w:rsidR="00B411B4">
              <w:rPr>
                <w:noProof/>
                <w:webHidden/>
              </w:rPr>
              <w:tab/>
            </w:r>
            <w:r w:rsidR="00B411B4">
              <w:rPr>
                <w:noProof/>
                <w:webHidden/>
              </w:rPr>
              <w:fldChar w:fldCharType="begin"/>
            </w:r>
            <w:r w:rsidR="00B411B4">
              <w:rPr>
                <w:noProof/>
                <w:webHidden/>
              </w:rPr>
              <w:instrText xml:space="preserve"> PAGEREF _Toc157420930 \h </w:instrText>
            </w:r>
            <w:r w:rsidR="00B411B4">
              <w:rPr>
                <w:noProof/>
                <w:webHidden/>
              </w:rPr>
            </w:r>
            <w:r w:rsidR="00B411B4">
              <w:rPr>
                <w:noProof/>
                <w:webHidden/>
              </w:rPr>
              <w:fldChar w:fldCharType="separate"/>
            </w:r>
            <w:r w:rsidR="009D53B4">
              <w:rPr>
                <w:noProof/>
                <w:webHidden/>
              </w:rPr>
              <w:t>23</w:t>
            </w:r>
            <w:r w:rsidR="00B411B4">
              <w:rPr>
                <w:noProof/>
                <w:webHidden/>
              </w:rPr>
              <w:fldChar w:fldCharType="end"/>
            </w:r>
          </w:hyperlink>
        </w:p>
        <w:p w14:paraId="6288EAF5" w14:textId="15BEF678"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1" w:history="1">
            <w:r w:rsidR="00B411B4" w:rsidRPr="00F91FE9">
              <w:rPr>
                <w:rStyle w:val="Hperlink"/>
                <w:rFonts w:ascii="Times New Roman" w:hAnsi="Times New Roman" w:cs="Times New Roman"/>
                <w:noProof/>
              </w:rPr>
              <w:t>1.1.5. Mereala planeering</w:t>
            </w:r>
            <w:r w:rsidR="00B411B4">
              <w:rPr>
                <w:noProof/>
                <w:webHidden/>
              </w:rPr>
              <w:tab/>
            </w:r>
            <w:r w:rsidR="00B411B4">
              <w:rPr>
                <w:noProof/>
                <w:webHidden/>
              </w:rPr>
              <w:fldChar w:fldCharType="begin"/>
            </w:r>
            <w:r w:rsidR="00B411B4">
              <w:rPr>
                <w:noProof/>
                <w:webHidden/>
              </w:rPr>
              <w:instrText xml:space="preserve"> PAGEREF _Toc157420931 \h </w:instrText>
            </w:r>
            <w:r w:rsidR="00B411B4">
              <w:rPr>
                <w:noProof/>
                <w:webHidden/>
              </w:rPr>
            </w:r>
            <w:r w:rsidR="00B411B4">
              <w:rPr>
                <w:noProof/>
                <w:webHidden/>
              </w:rPr>
              <w:fldChar w:fldCharType="separate"/>
            </w:r>
            <w:r w:rsidR="009D53B4">
              <w:rPr>
                <w:noProof/>
                <w:webHidden/>
              </w:rPr>
              <w:t>24</w:t>
            </w:r>
            <w:r w:rsidR="00B411B4">
              <w:rPr>
                <w:noProof/>
                <w:webHidden/>
              </w:rPr>
              <w:fldChar w:fldCharType="end"/>
            </w:r>
          </w:hyperlink>
        </w:p>
        <w:p w14:paraId="39AAA893" w14:textId="1E6B3E4E"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2" w:history="1">
            <w:r w:rsidR="00B411B4" w:rsidRPr="00F91FE9">
              <w:rPr>
                <w:rStyle w:val="Hperlink"/>
                <w:rFonts w:ascii="Times New Roman" w:hAnsi="Times New Roman" w:cs="Times New Roman"/>
                <w:noProof/>
              </w:rPr>
              <w:t>1.1.6. Veekeskkonna seisund Saaremaa rannikumeres</w:t>
            </w:r>
            <w:r w:rsidR="00B411B4">
              <w:rPr>
                <w:noProof/>
                <w:webHidden/>
              </w:rPr>
              <w:tab/>
            </w:r>
            <w:r w:rsidR="00B411B4">
              <w:rPr>
                <w:noProof/>
                <w:webHidden/>
              </w:rPr>
              <w:fldChar w:fldCharType="begin"/>
            </w:r>
            <w:r w:rsidR="00B411B4">
              <w:rPr>
                <w:noProof/>
                <w:webHidden/>
              </w:rPr>
              <w:instrText xml:space="preserve"> PAGEREF _Toc157420932 \h </w:instrText>
            </w:r>
            <w:r w:rsidR="00B411B4">
              <w:rPr>
                <w:noProof/>
                <w:webHidden/>
              </w:rPr>
            </w:r>
            <w:r w:rsidR="00B411B4">
              <w:rPr>
                <w:noProof/>
                <w:webHidden/>
              </w:rPr>
              <w:fldChar w:fldCharType="separate"/>
            </w:r>
            <w:r w:rsidR="009D53B4">
              <w:rPr>
                <w:noProof/>
                <w:webHidden/>
              </w:rPr>
              <w:t>25</w:t>
            </w:r>
            <w:r w:rsidR="00B411B4">
              <w:rPr>
                <w:noProof/>
                <w:webHidden/>
              </w:rPr>
              <w:fldChar w:fldCharType="end"/>
            </w:r>
          </w:hyperlink>
        </w:p>
        <w:p w14:paraId="6311D4A2" w14:textId="64826D69"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3" w:history="1">
            <w:r w:rsidR="00B411B4" w:rsidRPr="00F91FE9">
              <w:rPr>
                <w:rStyle w:val="Hperlink"/>
                <w:rFonts w:ascii="Times New Roman" w:hAnsi="Times New Roman" w:cs="Times New Roman"/>
                <w:noProof/>
              </w:rPr>
              <w:t>1.1.7. Piirkonna loodusressursid</w:t>
            </w:r>
            <w:r w:rsidR="00B411B4">
              <w:rPr>
                <w:noProof/>
                <w:webHidden/>
              </w:rPr>
              <w:tab/>
            </w:r>
            <w:r w:rsidR="00B411B4">
              <w:rPr>
                <w:noProof/>
                <w:webHidden/>
              </w:rPr>
              <w:fldChar w:fldCharType="begin"/>
            </w:r>
            <w:r w:rsidR="00B411B4">
              <w:rPr>
                <w:noProof/>
                <w:webHidden/>
              </w:rPr>
              <w:instrText xml:space="preserve"> PAGEREF _Toc157420933 \h </w:instrText>
            </w:r>
            <w:r w:rsidR="00B411B4">
              <w:rPr>
                <w:noProof/>
                <w:webHidden/>
              </w:rPr>
            </w:r>
            <w:r w:rsidR="00B411B4">
              <w:rPr>
                <w:noProof/>
                <w:webHidden/>
              </w:rPr>
              <w:fldChar w:fldCharType="separate"/>
            </w:r>
            <w:r w:rsidR="009D53B4">
              <w:rPr>
                <w:noProof/>
                <w:webHidden/>
              </w:rPr>
              <w:t>26</w:t>
            </w:r>
            <w:r w:rsidR="00B411B4">
              <w:rPr>
                <w:noProof/>
                <w:webHidden/>
              </w:rPr>
              <w:fldChar w:fldCharType="end"/>
            </w:r>
          </w:hyperlink>
        </w:p>
        <w:p w14:paraId="3E1744C3" w14:textId="3E8FBD4F"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34" w:history="1">
            <w:r w:rsidR="00B411B4" w:rsidRPr="00F91FE9">
              <w:rPr>
                <w:rStyle w:val="Hperlink"/>
                <w:noProof/>
              </w:rPr>
              <w:t>1.2. Kalapüük</w:t>
            </w:r>
            <w:r w:rsidR="00B411B4">
              <w:rPr>
                <w:noProof/>
                <w:webHidden/>
              </w:rPr>
              <w:tab/>
            </w:r>
            <w:r w:rsidR="00B411B4">
              <w:rPr>
                <w:noProof/>
                <w:webHidden/>
              </w:rPr>
              <w:fldChar w:fldCharType="begin"/>
            </w:r>
            <w:r w:rsidR="00B411B4">
              <w:rPr>
                <w:noProof/>
                <w:webHidden/>
              </w:rPr>
              <w:instrText xml:space="preserve"> PAGEREF _Toc157420934 \h </w:instrText>
            </w:r>
            <w:r w:rsidR="00B411B4">
              <w:rPr>
                <w:noProof/>
                <w:webHidden/>
              </w:rPr>
            </w:r>
            <w:r w:rsidR="00B411B4">
              <w:rPr>
                <w:noProof/>
                <w:webHidden/>
              </w:rPr>
              <w:fldChar w:fldCharType="separate"/>
            </w:r>
            <w:r w:rsidR="009D53B4">
              <w:rPr>
                <w:noProof/>
                <w:webHidden/>
              </w:rPr>
              <w:t>27</w:t>
            </w:r>
            <w:r w:rsidR="00B411B4">
              <w:rPr>
                <w:noProof/>
                <w:webHidden/>
              </w:rPr>
              <w:fldChar w:fldCharType="end"/>
            </w:r>
          </w:hyperlink>
        </w:p>
        <w:p w14:paraId="1DB5B4A0" w14:textId="5CC91E60"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5" w:history="1">
            <w:r w:rsidR="00B411B4" w:rsidRPr="00F91FE9">
              <w:rPr>
                <w:rStyle w:val="Hperlink"/>
                <w:rFonts w:ascii="Times New Roman" w:hAnsi="Times New Roman" w:cs="Times New Roman"/>
                <w:noProof/>
              </w:rPr>
              <w:t>1.2.1. Traalpüük</w:t>
            </w:r>
            <w:r w:rsidR="00B411B4">
              <w:rPr>
                <w:noProof/>
                <w:webHidden/>
              </w:rPr>
              <w:tab/>
            </w:r>
            <w:r w:rsidR="00B411B4">
              <w:rPr>
                <w:noProof/>
                <w:webHidden/>
              </w:rPr>
              <w:fldChar w:fldCharType="begin"/>
            </w:r>
            <w:r w:rsidR="00B411B4">
              <w:rPr>
                <w:noProof/>
                <w:webHidden/>
              </w:rPr>
              <w:instrText xml:space="preserve"> PAGEREF _Toc157420935 \h </w:instrText>
            </w:r>
            <w:r w:rsidR="00B411B4">
              <w:rPr>
                <w:noProof/>
                <w:webHidden/>
              </w:rPr>
            </w:r>
            <w:r w:rsidR="00B411B4">
              <w:rPr>
                <w:noProof/>
                <w:webHidden/>
              </w:rPr>
              <w:fldChar w:fldCharType="separate"/>
            </w:r>
            <w:r w:rsidR="009D53B4">
              <w:rPr>
                <w:noProof/>
                <w:webHidden/>
              </w:rPr>
              <w:t>28</w:t>
            </w:r>
            <w:r w:rsidR="00B411B4">
              <w:rPr>
                <w:noProof/>
                <w:webHidden/>
              </w:rPr>
              <w:fldChar w:fldCharType="end"/>
            </w:r>
          </w:hyperlink>
        </w:p>
        <w:p w14:paraId="5EDF120C" w14:textId="35A79C4B"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6" w:history="1">
            <w:r w:rsidR="00B411B4" w:rsidRPr="00F91FE9">
              <w:rPr>
                <w:rStyle w:val="Hperlink"/>
                <w:rFonts w:ascii="Times New Roman" w:hAnsi="Times New Roman" w:cs="Times New Roman"/>
                <w:noProof/>
              </w:rPr>
              <w:t>1.2.2. Harrastuspüük</w:t>
            </w:r>
            <w:r w:rsidR="00B411B4">
              <w:rPr>
                <w:noProof/>
                <w:webHidden/>
              </w:rPr>
              <w:tab/>
            </w:r>
            <w:r w:rsidR="00B411B4">
              <w:rPr>
                <w:noProof/>
                <w:webHidden/>
              </w:rPr>
              <w:fldChar w:fldCharType="begin"/>
            </w:r>
            <w:r w:rsidR="00B411B4">
              <w:rPr>
                <w:noProof/>
                <w:webHidden/>
              </w:rPr>
              <w:instrText xml:space="preserve"> PAGEREF _Toc157420936 \h </w:instrText>
            </w:r>
            <w:r w:rsidR="00B411B4">
              <w:rPr>
                <w:noProof/>
                <w:webHidden/>
              </w:rPr>
            </w:r>
            <w:r w:rsidR="00B411B4">
              <w:rPr>
                <w:noProof/>
                <w:webHidden/>
              </w:rPr>
              <w:fldChar w:fldCharType="separate"/>
            </w:r>
            <w:r w:rsidR="009D53B4">
              <w:rPr>
                <w:noProof/>
                <w:webHidden/>
              </w:rPr>
              <w:t>28</w:t>
            </w:r>
            <w:r w:rsidR="00B411B4">
              <w:rPr>
                <w:noProof/>
                <w:webHidden/>
              </w:rPr>
              <w:fldChar w:fldCharType="end"/>
            </w:r>
          </w:hyperlink>
        </w:p>
        <w:p w14:paraId="2EC451D8" w14:textId="45B2DAB0"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7" w:history="1">
            <w:r w:rsidR="00B411B4" w:rsidRPr="00F91FE9">
              <w:rPr>
                <w:rStyle w:val="Hperlink"/>
                <w:rFonts w:ascii="Times New Roman" w:hAnsi="Times New Roman" w:cs="Times New Roman"/>
                <w:noProof/>
              </w:rPr>
              <w:t>1.2.3. Rannapüük</w:t>
            </w:r>
            <w:r w:rsidR="00B411B4">
              <w:rPr>
                <w:noProof/>
                <w:webHidden/>
              </w:rPr>
              <w:tab/>
            </w:r>
            <w:r w:rsidR="00B411B4">
              <w:rPr>
                <w:noProof/>
                <w:webHidden/>
              </w:rPr>
              <w:fldChar w:fldCharType="begin"/>
            </w:r>
            <w:r w:rsidR="00B411B4">
              <w:rPr>
                <w:noProof/>
                <w:webHidden/>
              </w:rPr>
              <w:instrText xml:space="preserve"> PAGEREF _Toc157420937 \h </w:instrText>
            </w:r>
            <w:r w:rsidR="00B411B4">
              <w:rPr>
                <w:noProof/>
                <w:webHidden/>
              </w:rPr>
            </w:r>
            <w:r w:rsidR="00B411B4">
              <w:rPr>
                <w:noProof/>
                <w:webHidden/>
              </w:rPr>
              <w:fldChar w:fldCharType="separate"/>
            </w:r>
            <w:r w:rsidR="009D53B4">
              <w:rPr>
                <w:noProof/>
                <w:webHidden/>
              </w:rPr>
              <w:t>29</w:t>
            </w:r>
            <w:r w:rsidR="00B411B4">
              <w:rPr>
                <w:noProof/>
                <w:webHidden/>
              </w:rPr>
              <w:fldChar w:fldCharType="end"/>
            </w:r>
          </w:hyperlink>
        </w:p>
        <w:p w14:paraId="3C848C22" w14:textId="32C71F6B"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8" w:history="1">
            <w:r w:rsidR="00B411B4" w:rsidRPr="00F91FE9">
              <w:rPr>
                <w:rStyle w:val="Hperlink"/>
                <w:rFonts w:ascii="Times New Roman" w:hAnsi="Times New Roman" w:cs="Times New Roman"/>
                <w:noProof/>
              </w:rPr>
              <w:t>1.2.4. Kala esmakokkuostu hind</w:t>
            </w:r>
            <w:r w:rsidR="00B411B4">
              <w:rPr>
                <w:noProof/>
                <w:webHidden/>
              </w:rPr>
              <w:tab/>
            </w:r>
            <w:r w:rsidR="00B411B4">
              <w:rPr>
                <w:noProof/>
                <w:webHidden/>
              </w:rPr>
              <w:fldChar w:fldCharType="begin"/>
            </w:r>
            <w:r w:rsidR="00B411B4">
              <w:rPr>
                <w:noProof/>
                <w:webHidden/>
              </w:rPr>
              <w:instrText xml:space="preserve"> PAGEREF _Toc157420938 \h </w:instrText>
            </w:r>
            <w:r w:rsidR="00B411B4">
              <w:rPr>
                <w:noProof/>
                <w:webHidden/>
              </w:rPr>
            </w:r>
            <w:r w:rsidR="00B411B4">
              <w:rPr>
                <w:noProof/>
                <w:webHidden/>
              </w:rPr>
              <w:fldChar w:fldCharType="separate"/>
            </w:r>
            <w:r w:rsidR="009D53B4">
              <w:rPr>
                <w:noProof/>
                <w:webHidden/>
              </w:rPr>
              <w:t>31</w:t>
            </w:r>
            <w:r w:rsidR="00B411B4">
              <w:rPr>
                <w:noProof/>
                <w:webHidden/>
              </w:rPr>
              <w:fldChar w:fldCharType="end"/>
            </w:r>
          </w:hyperlink>
        </w:p>
        <w:p w14:paraId="4400C4D3" w14:textId="3D44A19F"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39" w:history="1">
            <w:r w:rsidR="00B411B4" w:rsidRPr="00F91FE9">
              <w:rPr>
                <w:rStyle w:val="Hperlink"/>
                <w:rFonts w:ascii="Times New Roman" w:hAnsi="Times New Roman" w:cs="Times New Roman"/>
                <w:noProof/>
              </w:rPr>
              <w:t>1.2.5. Vesiviljelus</w:t>
            </w:r>
            <w:r w:rsidR="00B411B4">
              <w:rPr>
                <w:noProof/>
                <w:webHidden/>
              </w:rPr>
              <w:tab/>
            </w:r>
            <w:r w:rsidR="00B411B4">
              <w:rPr>
                <w:noProof/>
                <w:webHidden/>
              </w:rPr>
              <w:fldChar w:fldCharType="begin"/>
            </w:r>
            <w:r w:rsidR="00B411B4">
              <w:rPr>
                <w:noProof/>
                <w:webHidden/>
              </w:rPr>
              <w:instrText xml:space="preserve"> PAGEREF _Toc157420939 \h </w:instrText>
            </w:r>
            <w:r w:rsidR="00B411B4">
              <w:rPr>
                <w:noProof/>
                <w:webHidden/>
              </w:rPr>
            </w:r>
            <w:r w:rsidR="00B411B4">
              <w:rPr>
                <w:noProof/>
                <w:webHidden/>
              </w:rPr>
              <w:fldChar w:fldCharType="separate"/>
            </w:r>
            <w:r w:rsidR="009D53B4">
              <w:rPr>
                <w:noProof/>
                <w:webHidden/>
              </w:rPr>
              <w:t>32</w:t>
            </w:r>
            <w:r w:rsidR="00B411B4">
              <w:rPr>
                <w:noProof/>
                <w:webHidden/>
              </w:rPr>
              <w:fldChar w:fldCharType="end"/>
            </w:r>
          </w:hyperlink>
        </w:p>
        <w:p w14:paraId="6C8BAFA3" w14:textId="4BAB0139"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40" w:history="1">
            <w:r w:rsidR="00B411B4" w:rsidRPr="00F91FE9">
              <w:rPr>
                <w:rStyle w:val="Hperlink"/>
                <w:noProof/>
              </w:rPr>
              <w:t>1.3. Kalavarud</w:t>
            </w:r>
            <w:r w:rsidR="00B411B4">
              <w:rPr>
                <w:noProof/>
                <w:webHidden/>
              </w:rPr>
              <w:tab/>
            </w:r>
            <w:r w:rsidR="00B411B4">
              <w:rPr>
                <w:noProof/>
                <w:webHidden/>
              </w:rPr>
              <w:fldChar w:fldCharType="begin"/>
            </w:r>
            <w:r w:rsidR="00B411B4">
              <w:rPr>
                <w:noProof/>
                <w:webHidden/>
              </w:rPr>
              <w:instrText xml:space="preserve"> PAGEREF _Toc157420940 \h </w:instrText>
            </w:r>
            <w:r w:rsidR="00B411B4">
              <w:rPr>
                <w:noProof/>
                <w:webHidden/>
              </w:rPr>
            </w:r>
            <w:r w:rsidR="00B411B4">
              <w:rPr>
                <w:noProof/>
                <w:webHidden/>
              </w:rPr>
              <w:fldChar w:fldCharType="separate"/>
            </w:r>
            <w:r w:rsidR="009D53B4">
              <w:rPr>
                <w:noProof/>
                <w:webHidden/>
              </w:rPr>
              <w:t>34</w:t>
            </w:r>
            <w:r w:rsidR="00B411B4">
              <w:rPr>
                <w:noProof/>
                <w:webHidden/>
              </w:rPr>
              <w:fldChar w:fldCharType="end"/>
            </w:r>
          </w:hyperlink>
        </w:p>
        <w:p w14:paraId="45DDEA03" w14:textId="083B5877"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41" w:history="1">
            <w:r w:rsidR="00B411B4" w:rsidRPr="00F91FE9">
              <w:rPr>
                <w:rStyle w:val="Hperlink"/>
                <w:noProof/>
              </w:rPr>
              <w:t>1.4. Tööhõive ja elatusvõimalused rannakalanduses</w:t>
            </w:r>
            <w:r w:rsidR="00B411B4">
              <w:rPr>
                <w:noProof/>
                <w:webHidden/>
              </w:rPr>
              <w:tab/>
            </w:r>
            <w:r w:rsidR="00B411B4">
              <w:rPr>
                <w:noProof/>
                <w:webHidden/>
              </w:rPr>
              <w:fldChar w:fldCharType="begin"/>
            </w:r>
            <w:r w:rsidR="00B411B4">
              <w:rPr>
                <w:noProof/>
                <w:webHidden/>
              </w:rPr>
              <w:instrText xml:space="preserve"> PAGEREF _Toc157420941 \h </w:instrText>
            </w:r>
            <w:r w:rsidR="00B411B4">
              <w:rPr>
                <w:noProof/>
                <w:webHidden/>
              </w:rPr>
            </w:r>
            <w:r w:rsidR="00B411B4">
              <w:rPr>
                <w:noProof/>
                <w:webHidden/>
              </w:rPr>
              <w:fldChar w:fldCharType="separate"/>
            </w:r>
            <w:r w:rsidR="009D53B4">
              <w:rPr>
                <w:noProof/>
                <w:webHidden/>
              </w:rPr>
              <w:t>37</w:t>
            </w:r>
            <w:r w:rsidR="00B411B4">
              <w:rPr>
                <w:noProof/>
                <w:webHidden/>
              </w:rPr>
              <w:fldChar w:fldCharType="end"/>
            </w:r>
          </w:hyperlink>
        </w:p>
        <w:p w14:paraId="6D676135" w14:textId="6AEB7DD7"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42" w:history="1">
            <w:r w:rsidR="00B411B4" w:rsidRPr="00F91FE9">
              <w:rPr>
                <w:rStyle w:val="Hperlink"/>
                <w:rFonts w:ascii="Times New Roman" w:hAnsi="Times New Roman"/>
                <w:noProof/>
              </w:rPr>
              <w:t>1.4.1. Kalurkonna koolitusvajadus</w:t>
            </w:r>
            <w:r w:rsidR="00B411B4">
              <w:rPr>
                <w:noProof/>
                <w:webHidden/>
              </w:rPr>
              <w:tab/>
            </w:r>
            <w:r w:rsidR="00B411B4">
              <w:rPr>
                <w:noProof/>
                <w:webHidden/>
              </w:rPr>
              <w:fldChar w:fldCharType="begin"/>
            </w:r>
            <w:r w:rsidR="00B411B4">
              <w:rPr>
                <w:noProof/>
                <w:webHidden/>
              </w:rPr>
              <w:instrText xml:space="preserve"> PAGEREF _Toc157420942 \h </w:instrText>
            </w:r>
            <w:r w:rsidR="00B411B4">
              <w:rPr>
                <w:noProof/>
                <w:webHidden/>
              </w:rPr>
            </w:r>
            <w:r w:rsidR="00B411B4">
              <w:rPr>
                <w:noProof/>
                <w:webHidden/>
              </w:rPr>
              <w:fldChar w:fldCharType="separate"/>
            </w:r>
            <w:r w:rsidR="009D53B4">
              <w:rPr>
                <w:noProof/>
                <w:webHidden/>
              </w:rPr>
              <w:t>40</w:t>
            </w:r>
            <w:r w:rsidR="00B411B4">
              <w:rPr>
                <w:noProof/>
                <w:webHidden/>
              </w:rPr>
              <w:fldChar w:fldCharType="end"/>
            </w:r>
          </w:hyperlink>
        </w:p>
        <w:p w14:paraId="32093294" w14:textId="3DFF13BF"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43" w:history="1">
            <w:r w:rsidR="00B411B4" w:rsidRPr="00F91FE9">
              <w:rPr>
                <w:rStyle w:val="Hperlink"/>
                <w:noProof/>
              </w:rPr>
              <w:t>1.5. Kalalaevastik</w:t>
            </w:r>
            <w:r w:rsidR="00B411B4">
              <w:rPr>
                <w:noProof/>
                <w:webHidden/>
              </w:rPr>
              <w:tab/>
            </w:r>
            <w:r w:rsidR="00B411B4">
              <w:rPr>
                <w:noProof/>
                <w:webHidden/>
              </w:rPr>
              <w:fldChar w:fldCharType="begin"/>
            </w:r>
            <w:r w:rsidR="00B411B4">
              <w:rPr>
                <w:noProof/>
                <w:webHidden/>
              </w:rPr>
              <w:instrText xml:space="preserve"> PAGEREF _Toc157420943 \h </w:instrText>
            </w:r>
            <w:r w:rsidR="00B411B4">
              <w:rPr>
                <w:noProof/>
                <w:webHidden/>
              </w:rPr>
            </w:r>
            <w:r w:rsidR="00B411B4">
              <w:rPr>
                <w:noProof/>
                <w:webHidden/>
              </w:rPr>
              <w:fldChar w:fldCharType="separate"/>
            </w:r>
            <w:r w:rsidR="009D53B4">
              <w:rPr>
                <w:noProof/>
                <w:webHidden/>
              </w:rPr>
              <w:t>40</w:t>
            </w:r>
            <w:r w:rsidR="00B411B4">
              <w:rPr>
                <w:noProof/>
                <w:webHidden/>
              </w:rPr>
              <w:fldChar w:fldCharType="end"/>
            </w:r>
          </w:hyperlink>
        </w:p>
        <w:p w14:paraId="25E62937" w14:textId="4A445B71"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44" w:history="1">
            <w:r w:rsidR="00B411B4" w:rsidRPr="00F91FE9">
              <w:rPr>
                <w:rStyle w:val="Hperlink"/>
                <w:noProof/>
              </w:rPr>
              <w:t>1.6. Sadamad ja lossimiskohad</w:t>
            </w:r>
            <w:r w:rsidR="00B411B4">
              <w:rPr>
                <w:noProof/>
                <w:webHidden/>
              </w:rPr>
              <w:tab/>
            </w:r>
            <w:r w:rsidR="00B411B4">
              <w:rPr>
                <w:noProof/>
                <w:webHidden/>
              </w:rPr>
              <w:fldChar w:fldCharType="begin"/>
            </w:r>
            <w:r w:rsidR="00B411B4">
              <w:rPr>
                <w:noProof/>
                <w:webHidden/>
              </w:rPr>
              <w:instrText xml:space="preserve"> PAGEREF _Toc157420944 \h </w:instrText>
            </w:r>
            <w:r w:rsidR="00B411B4">
              <w:rPr>
                <w:noProof/>
                <w:webHidden/>
              </w:rPr>
            </w:r>
            <w:r w:rsidR="00B411B4">
              <w:rPr>
                <w:noProof/>
                <w:webHidden/>
              </w:rPr>
              <w:fldChar w:fldCharType="separate"/>
            </w:r>
            <w:r w:rsidR="009D53B4">
              <w:rPr>
                <w:noProof/>
                <w:webHidden/>
              </w:rPr>
              <w:t>41</w:t>
            </w:r>
            <w:r w:rsidR="00B411B4">
              <w:rPr>
                <w:noProof/>
                <w:webHidden/>
              </w:rPr>
              <w:fldChar w:fldCharType="end"/>
            </w:r>
          </w:hyperlink>
        </w:p>
        <w:p w14:paraId="09C7E778" w14:textId="0F7675E1"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45" w:history="1">
            <w:r w:rsidR="00B411B4" w:rsidRPr="00F91FE9">
              <w:rPr>
                <w:rStyle w:val="Hperlink"/>
                <w:noProof/>
              </w:rPr>
              <w:t>1.7. Kala töötlemine ja otseturustamine</w:t>
            </w:r>
            <w:r w:rsidR="00B411B4">
              <w:rPr>
                <w:noProof/>
                <w:webHidden/>
              </w:rPr>
              <w:tab/>
            </w:r>
            <w:r w:rsidR="00B411B4">
              <w:rPr>
                <w:noProof/>
                <w:webHidden/>
              </w:rPr>
              <w:fldChar w:fldCharType="begin"/>
            </w:r>
            <w:r w:rsidR="00B411B4">
              <w:rPr>
                <w:noProof/>
                <w:webHidden/>
              </w:rPr>
              <w:instrText xml:space="preserve"> PAGEREF _Toc157420945 \h </w:instrText>
            </w:r>
            <w:r w:rsidR="00B411B4">
              <w:rPr>
                <w:noProof/>
                <w:webHidden/>
              </w:rPr>
            </w:r>
            <w:r w:rsidR="00B411B4">
              <w:rPr>
                <w:noProof/>
                <w:webHidden/>
              </w:rPr>
              <w:fldChar w:fldCharType="separate"/>
            </w:r>
            <w:r w:rsidR="009D53B4">
              <w:rPr>
                <w:noProof/>
                <w:webHidden/>
              </w:rPr>
              <w:t>43</w:t>
            </w:r>
            <w:r w:rsidR="00B411B4">
              <w:rPr>
                <w:noProof/>
                <w:webHidden/>
              </w:rPr>
              <w:fldChar w:fldCharType="end"/>
            </w:r>
          </w:hyperlink>
        </w:p>
        <w:p w14:paraId="55079AD1" w14:textId="428D07C6"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46" w:history="1">
            <w:r w:rsidR="00B411B4" w:rsidRPr="00F91FE9">
              <w:rPr>
                <w:rStyle w:val="Hperlink"/>
                <w:noProof/>
              </w:rPr>
              <w:t>1.8. Kala tarbimisharjumused ja selle muutused Eestis ning Saaremaal</w:t>
            </w:r>
            <w:r w:rsidR="00B411B4">
              <w:rPr>
                <w:noProof/>
                <w:webHidden/>
              </w:rPr>
              <w:tab/>
            </w:r>
            <w:r w:rsidR="00B411B4">
              <w:rPr>
                <w:noProof/>
                <w:webHidden/>
              </w:rPr>
              <w:fldChar w:fldCharType="begin"/>
            </w:r>
            <w:r w:rsidR="00B411B4">
              <w:rPr>
                <w:noProof/>
                <w:webHidden/>
              </w:rPr>
              <w:instrText xml:space="preserve"> PAGEREF _Toc157420946 \h </w:instrText>
            </w:r>
            <w:r w:rsidR="00B411B4">
              <w:rPr>
                <w:noProof/>
                <w:webHidden/>
              </w:rPr>
            </w:r>
            <w:r w:rsidR="00B411B4">
              <w:rPr>
                <w:noProof/>
                <w:webHidden/>
              </w:rPr>
              <w:fldChar w:fldCharType="separate"/>
            </w:r>
            <w:r w:rsidR="009D53B4">
              <w:rPr>
                <w:noProof/>
                <w:webHidden/>
              </w:rPr>
              <w:t>45</w:t>
            </w:r>
            <w:r w:rsidR="00B411B4">
              <w:rPr>
                <w:noProof/>
                <w:webHidden/>
              </w:rPr>
              <w:fldChar w:fldCharType="end"/>
            </w:r>
          </w:hyperlink>
        </w:p>
        <w:p w14:paraId="1FCB34EC" w14:textId="5FE736C1"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47" w:history="1">
            <w:r w:rsidR="00B411B4" w:rsidRPr="00F91FE9">
              <w:rPr>
                <w:rStyle w:val="Hperlink"/>
                <w:rFonts w:eastAsia="Times New Roman"/>
                <w:noProof/>
              </w:rPr>
              <w:t>1.9. K</w:t>
            </w:r>
            <w:r w:rsidR="00B411B4" w:rsidRPr="00F91FE9">
              <w:rPr>
                <w:rStyle w:val="Hperlink"/>
                <w:noProof/>
              </w:rPr>
              <w:t>alanduse kui tegevusala tuntus kalanduspiirkonnas.</w:t>
            </w:r>
            <w:r w:rsidR="00B411B4">
              <w:rPr>
                <w:noProof/>
                <w:webHidden/>
              </w:rPr>
              <w:tab/>
            </w:r>
            <w:r w:rsidR="00B411B4">
              <w:rPr>
                <w:noProof/>
                <w:webHidden/>
              </w:rPr>
              <w:fldChar w:fldCharType="begin"/>
            </w:r>
            <w:r w:rsidR="00B411B4">
              <w:rPr>
                <w:noProof/>
                <w:webHidden/>
              </w:rPr>
              <w:instrText xml:space="preserve"> PAGEREF _Toc157420947 \h </w:instrText>
            </w:r>
            <w:r w:rsidR="00B411B4">
              <w:rPr>
                <w:noProof/>
                <w:webHidden/>
              </w:rPr>
            </w:r>
            <w:r w:rsidR="00B411B4">
              <w:rPr>
                <w:noProof/>
                <w:webHidden/>
              </w:rPr>
              <w:fldChar w:fldCharType="separate"/>
            </w:r>
            <w:r w:rsidR="009D53B4">
              <w:rPr>
                <w:noProof/>
                <w:webHidden/>
              </w:rPr>
              <w:t>46</w:t>
            </w:r>
            <w:r w:rsidR="00B411B4">
              <w:rPr>
                <w:noProof/>
                <w:webHidden/>
              </w:rPr>
              <w:fldChar w:fldCharType="end"/>
            </w:r>
          </w:hyperlink>
        </w:p>
        <w:p w14:paraId="51B9F1EA" w14:textId="7B10DF1D"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48" w:history="1">
            <w:r w:rsidR="00B411B4" w:rsidRPr="00F91FE9">
              <w:rPr>
                <w:rStyle w:val="Hperlink"/>
                <w:noProof/>
              </w:rPr>
              <w:t>2. Kalanduspiirkonna arenguvajaduste ja potentsiaali analüüs</w:t>
            </w:r>
            <w:r w:rsidR="00B411B4">
              <w:rPr>
                <w:noProof/>
                <w:webHidden/>
              </w:rPr>
              <w:tab/>
            </w:r>
            <w:r w:rsidR="00B411B4">
              <w:rPr>
                <w:noProof/>
                <w:webHidden/>
              </w:rPr>
              <w:fldChar w:fldCharType="begin"/>
            </w:r>
            <w:r w:rsidR="00B411B4">
              <w:rPr>
                <w:noProof/>
                <w:webHidden/>
              </w:rPr>
              <w:instrText xml:space="preserve"> PAGEREF _Toc157420948 \h </w:instrText>
            </w:r>
            <w:r w:rsidR="00B411B4">
              <w:rPr>
                <w:noProof/>
                <w:webHidden/>
              </w:rPr>
            </w:r>
            <w:r w:rsidR="00B411B4">
              <w:rPr>
                <w:noProof/>
                <w:webHidden/>
              </w:rPr>
              <w:fldChar w:fldCharType="separate"/>
            </w:r>
            <w:r w:rsidR="009D53B4">
              <w:rPr>
                <w:noProof/>
                <w:webHidden/>
              </w:rPr>
              <w:t>48</w:t>
            </w:r>
            <w:r w:rsidR="00B411B4">
              <w:rPr>
                <w:noProof/>
                <w:webHidden/>
              </w:rPr>
              <w:fldChar w:fldCharType="end"/>
            </w:r>
          </w:hyperlink>
        </w:p>
        <w:p w14:paraId="65826FFA" w14:textId="7762CAAF"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49" w:history="1">
            <w:r w:rsidR="00B411B4" w:rsidRPr="00F91FE9">
              <w:rPr>
                <w:rStyle w:val="Hperlink"/>
                <w:rFonts w:eastAsia="Times New Roman"/>
                <w:noProof/>
              </w:rPr>
              <w:t>2.2. Piirkonna SWOT ja TOWS analüüsid</w:t>
            </w:r>
            <w:r w:rsidR="00B411B4">
              <w:rPr>
                <w:noProof/>
                <w:webHidden/>
              </w:rPr>
              <w:tab/>
            </w:r>
            <w:r w:rsidR="00B411B4">
              <w:rPr>
                <w:noProof/>
                <w:webHidden/>
              </w:rPr>
              <w:fldChar w:fldCharType="begin"/>
            </w:r>
            <w:r w:rsidR="00B411B4">
              <w:rPr>
                <w:noProof/>
                <w:webHidden/>
              </w:rPr>
              <w:instrText xml:space="preserve"> PAGEREF _Toc157420949 \h </w:instrText>
            </w:r>
            <w:r w:rsidR="00B411B4">
              <w:rPr>
                <w:noProof/>
                <w:webHidden/>
              </w:rPr>
            </w:r>
            <w:r w:rsidR="00B411B4">
              <w:rPr>
                <w:noProof/>
                <w:webHidden/>
              </w:rPr>
              <w:fldChar w:fldCharType="separate"/>
            </w:r>
            <w:r w:rsidR="009D53B4">
              <w:rPr>
                <w:noProof/>
                <w:webHidden/>
              </w:rPr>
              <w:t>48</w:t>
            </w:r>
            <w:r w:rsidR="00B411B4">
              <w:rPr>
                <w:noProof/>
                <w:webHidden/>
              </w:rPr>
              <w:fldChar w:fldCharType="end"/>
            </w:r>
          </w:hyperlink>
        </w:p>
        <w:p w14:paraId="580EBF15" w14:textId="29BBB3D6"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50" w:history="1">
            <w:r w:rsidR="00B411B4" w:rsidRPr="00F91FE9">
              <w:rPr>
                <w:rStyle w:val="Hperlink"/>
                <w:rFonts w:ascii="Times New Roman" w:hAnsi="Times New Roman" w:cs="Times New Roman"/>
                <w:noProof/>
              </w:rPr>
              <w:t>2.2.1. SWOT analüüs</w:t>
            </w:r>
            <w:r w:rsidR="00B411B4">
              <w:rPr>
                <w:noProof/>
                <w:webHidden/>
              </w:rPr>
              <w:tab/>
            </w:r>
            <w:r w:rsidR="00B411B4">
              <w:rPr>
                <w:noProof/>
                <w:webHidden/>
              </w:rPr>
              <w:fldChar w:fldCharType="begin"/>
            </w:r>
            <w:r w:rsidR="00B411B4">
              <w:rPr>
                <w:noProof/>
                <w:webHidden/>
              </w:rPr>
              <w:instrText xml:space="preserve"> PAGEREF _Toc157420950 \h </w:instrText>
            </w:r>
            <w:r w:rsidR="00B411B4">
              <w:rPr>
                <w:noProof/>
                <w:webHidden/>
              </w:rPr>
            </w:r>
            <w:r w:rsidR="00B411B4">
              <w:rPr>
                <w:noProof/>
                <w:webHidden/>
              </w:rPr>
              <w:fldChar w:fldCharType="separate"/>
            </w:r>
            <w:r w:rsidR="009D53B4">
              <w:rPr>
                <w:noProof/>
                <w:webHidden/>
              </w:rPr>
              <w:t>48</w:t>
            </w:r>
            <w:r w:rsidR="00B411B4">
              <w:rPr>
                <w:noProof/>
                <w:webHidden/>
              </w:rPr>
              <w:fldChar w:fldCharType="end"/>
            </w:r>
          </w:hyperlink>
        </w:p>
        <w:p w14:paraId="48C56CBC" w14:textId="07284EF9"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51" w:history="1">
            <w:r w:rsidR="00B411B4" w:rsidRPr="00F91FE9">
              <w:rPr>
                <w:rStyle w:val="Hperlink"/>
                <w:rFonts w:ascii="Times New Roman" w:hAnsi="Times New Roman" w:cs="Times New Roman"/>
                <w:noProof/>
              </w:rPr>
              <w:t>2.2.2. TOWS analüüs</w:t>
            </w:r>
            <w:r w:rsidR="00B411B4">
              <w:rPr>
                <w:noProof/>
                <w:webHidden/>
              </w:rPr>
              <w:tab/>
            </w:r>
            <w:r w:rsidR="00B411B4">
              <w:rPr>
                <w:noProof/>
                <w:webHidden/>
              </w:rPr>
              <w:fldChar w:fldCharType="begin"/>
            </w:r>
            <w:r w:rsidR="00B411B4">
              <w:rPr>
                <w:noProof/>
                <w:webHidden/>
              </w:rPr>
              <w:instrText xml:space="preserve"> PAGEREF _Toc157420951 \h </w:instrText>
            </w:r>
            <w:r w:rsidR="00B411B4">
              <w:rPr>
                <w:noProof/>
                <w:webHidden/>
              </w:rPr>
            </w:r>
            <w:r w:rsidR="00B411B4">
              <w:rPr>
                <w:noProof/>
                <w:webHidden/>
              </w:rPr>
              <w:fldChar w:fldCharType="separate"/>
            </w:r>
            <w:r w:rsidR="009D53B4">
              <w:rPr>
                <w:noProof/>
                <w:webHidden/>
              </w:rPr>
              <w:t>49</w:t>
            </w:r>
            <w:r w:rsidR="00B411B4">
              <w:rPr>
                <w:noProof/>
                <w:webHidden/>
              </w:rPr>
              <w:fldChar w:fldCharType="end"/>
            </w:r>
          </w:hyperlink>
        </w:p>
        <w:p w14:paraId="58E9358C" w14:textId="7A53DFA4"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52" w:history="1">
            <w:r w:rsidR="00B411B4" w:rsidRPr="00F91FE9">
              <w:rPr>
                <w:rStyle w:val="Hperlink"/>
                <w:rFonts w:eastAsia="Times New Roman"/>
                <w:noProof/>
              </w:rPr>
              <w:t>3.  Strateegia 2021 -2027+  vajalikkuse põhjendus, missioon ja visioon</w:t>
            </w:r>
            <w:r w:rsidR="00B411B4">
              <w:rPr>
                <w:noProof/>
                <w:webHidden/>
              </w:rPr>
              <w:tab/>
            </w:r>
            <w:r w:rsidR="00B411B4">
              <w:rPr>
                <w:noProof/>
                <w:webHidden/>
              </w:rPr>
              <w:fldChar w:fldCharType="begin"/>
            </w:r>
            <w:r w:rsidR="00B411B4">
              <w:rPr>
                <w:noProof/>
                <w:webHidden/>
              </w:rPr>
              <w:instrText xml:space="preserve"> PAGEREF _Toc157420952 \h </w:instrText>
            </w:r>
            <w:r w:rsidR="00B411B4">
              <w:rPr>
                <w:noProof/>
                <w:webHidden/>
              </w:rPr>
            </w:r>
            <w:r w:rsidR="00B411B4">
              <w:rPr>
                <w:noProof/>
                <w:webHidden/>
              </w:rPr>
              <w:fldChar w:fldCharType="separate"/>
            </w:r>
            <w:r w:rsidR="009D53B4">
              <w:rPr>
                <w:noProof/>
                <w:webHidden/>
              </w:rPr>
              <w:t>52</w:t>
            </w:r>
            <w:r w:rsidR="00B411B4">
              <w:rPr>
                <w:noProof/>
                <w:webHidden/>
              </w:rPr>
              <w:fldChar w:fldCharType="end"/>
            </w:r>
          </w:hyperlink>
        </w:p>
        <w:p w14:paraId="05B8201E" w14:textId="62B8F8A4"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53" w:history="1">
            <w:r w:rsidR="00B411B4" w:rsidRPr="00F91FE9">
              <w:rPr>
                <w:rStyle w:val="Hperlink"/>
                <w:rFonts w:eastAsia="Times New Roman"/>
                <w:noProof/>
              </w:rPr>
              <w:t>3.1. Strateegia vajalikkuse põhjendus</w:t>
            </w:r>
            <w:r w:rsidR="00B411B4">
              <w:rPr>
                <w:noProof/>
                <w:webHidden/>
              </w:rPr>
              <w:tab/>
            </w:r>
            <w:r w:rsidR="00B411B4">
              <w:rPr>
                <w:noProof/>
                <w:webHidden/>
              </w:rPr>
              <w:fldChar w:fldCharType="begin"/>
            </w:r>
            <w:r w:rsidR="00B411B4">
              <w:rPr>
                <w:noProof/>
                <w:webHidden/>
              </w:rPr>
              <w:instrText xml:space="preserve"> PAGEREF _Toc157420953 \h </w:instrText>
            </w:r>
            <w:r w:rsidR="00B411B4">
              <w:rPr>
                <w:noProof/>
                <w:webHidden/>
              </w:rPr>
            </w:r>
            <w:r w:rsidR="00B411B4">
              <w:rPr>
                <w:noProof/>
                <w:webHidden/>
              </w:rPr>
              <w:fldChar w:fldCharType="separate"/>
            </w:r>
            <w:r w:rsidR="009D53B4">
              <w:rPr>
                <w:noProof/>
                <w:webHidden/>
              </w:rPr>
              <w:t>52</w:t>
            </w:r>
            <w:r w:rsidR="00B411B4">
              <w:rPr>
                <w:noProof/>
                <w:webHidden/>
              </w:rPr>
              <w:fldChar w:fldCharType="end"/>
            </w:r>
          </w:hyperlink>
        </w:p>
        <w:p w14:paraId="03B4D3BA" w14:textId="24B3F7D1"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54" w:history="1">
            <w:r w:rsidR="00B411B4" w:rsidRPr="00F91FE9">
              <w:rPr>
                <w:rStyle w:val="Hperlink"/>
                <w:rFonts w:eastAsia="Times New Roman"/>
                <w:noProof/>
              </w:rPr>
              <w:t>3.2. Missioon</w:t>
            </w:r>
            <w:r w:rsidR="00B411B4">
              <w:rPr>
                <w:noProof/>
                <w:webHidden/>
              </w:rPr>
              <w:tab/>
            </w:r>
            <w:r w:rsidR="00B411B4">
              <w:rPr>
                <w:noProof/>
                <w:webHidden/>
              </w:rPr>
              <w:fldChar w:fldCharType="begin"/>
            </w:r>
            <w:r w:rsidR="00B411B4">
              <w:rPr>
                <w:noProof/>
                <w:webHidden/>
              </w:rPr>
              <w:instrText xml:space="preserve"> PAGEREF _Toc157420954 \h </w:instrText>
            </w:r>
            <w:r w:rsidR="00B411B4">
              <w:rPr>
                <w:noProof/>
                <w:webHidden/>
              </w:rPr>
            </w:r>
            <w:r w:rsidR="00B411B4">
              <w:rPr>
                <w:noProof/>
                <w:webHidden/>
              </w:rPr>
              <w:fldChar w:fldCharType="separate"/>
            </w:r>
            <w:r w:rsidR="009D53B4">
              <w:rPr>
                <w:noProof/>
                <w:webHidden/>
              </w:rPr>
              <w:t>53</w:t>
            </w:r>
            <w:r w:rsidR="00B411B4">
              <w:rPr>
                <w:noProof/>
                <w:webHidden/>
              </w:rPr>
              <w:fldChar w:fldCharType="end"/>
            </w:r>
          </w:hyperlink>
        </w:p>
        <w:p w14:paraId="4B2B3C38" w14:textId="7AA27F89"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55" w:history="1">
            <w:r w:rsidR="00B411B4" w:rsidRPr="00F91FE9">
              <w:rPr>
                <w:rStyle w:val="Hperlink"/>
                <w:rFonts w:eastAsia="Times New Roman"/>
                <w:noProof/>
              </w:rPr>
              <w:t>3.3. Visioon</w:t>
            </w:r>
            <w:r w:rsidR="00B411B4">
              <w:rPr>
                <w:noProof/>
                <w:webHidden/>
              </w:rPr>
              <w:tab/>
            </w:r>
            <w:r w:rsidR="00B411B4">
              <w:rPr>
                <w:noProof/>
                <w:webHidden/>
              </w:rPr>
              <w:fldChar w:fldCharType="begin"/>
            </w:r>
            <w:r w:rsidR="00B411B4">
              <w:rPr>
                <w:noProof/>
                <w:webHidden/>
              </w:rPr>
              <w:instrText xml:space="preserve"> PAGEREF _Toc157420955 \h </w:instrText>
            </w:r>
            <w:r w:rsidR="00B411B4">
              <w:rPr>
                <w:noProof/>
                <w:webHidden/>
              </w:rPr>
            </w:r>
            <w:r w:rsidR="00B411B4">
              <w:rPr>
                <w:noProof/>
                <w:webHidden/>
              </w:rPr>
              <w:fldChar w:fldCharType="separate"/>
            </w:r>
            <w:r w:rsidR="009D53B4">
              <w:rPr>
                <w:noProof/>
                <w:webHidden/>
              </w:rPr>
              <w:t>54</w:t>
            </w:r>
            <w:r w:rsidR="00B411B4">
              <w:rPr>
                <w:noProof/>
                <w:webHidden/>
              </w:rPr>
              <w:fldChar w:fldCharType="end"/>
            </w:r>
          </w:hyperlink>
        </w:p>
        <w:p w14:paraId="54B20C48" w14:textId="7108381E"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56" w:history="1">
            <w:r w:rsidR="00B411B4" w:rsidRPr="00F91FE9">
              <w:rPr>
                <w:rStyle w:val="Hperlink"/>
                <w:noProof/>
              </w:rPr>
              <w:t>3.4. Väärtused</w:t>
            </w:r>
            <w:r w:rsidR="00B411B4">
              <w:rPr>
                <w:noProof/>
                <w:webHidden/>
              </w:rPr>
              <w:tab/>
            </w:r>
            <w:r w:rsidR="00B411B4">
              <w:rPr>
                <w:noProof/>
                <w:webHidden/>
              </w:rPr>
              <w:fldChar w:fldCharType="begin"/>
            </w:r>
            <w:r w:rsidR="00B411B4">
              <w:rPr>
                <w:noProof/>
                <w:webHidden/>
              </w:rPr>
              <w:instrText xml:space="preserve"> PAGEREF _Toc157420956 \h </w:instrText>
            </w:r>
            <w:r w:rsidR="00B411B4">
              <w:rPr>
                <w:noProof/>
                <w:webHidden/>
              </w:rPr>
            </w:r>
            <w:r w:rsidR="00B411B4">
              <w:rPr>
                <w:noProof/>
                <w:webHidden/>
              </w:rPr>
              <w:fldChar w:fldCharType="separate"/>
            </w:r>
            <w:r w:rsidR="009D53B4">
              <w:rPr>
                <w:noProof/>
                <w:webHidden/>
              </w:rPr>
              <w:t>54</w:t>
            </w:r>
            <w:r w:rsidR="00B411B4">
              <w:rPr>
                <w:noProof/>
                <w:webHidden/>
              </w:rPr>
              <w:fldChar w:fldCharType="end"/>
            </w:r>
          </w:hyperlink>
        </w:p>
        <w:p w14:paraId="4D8DFB20" w14:textId="206B4521"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57" w:history="1">
            <w:r w:rsidR="00B411B4" w:rsidRPr="00F91FE9">
              <w:rPr>
                <w:rStyle w:val="Hperlink"/>
                <w:rFonts w:eastAsia="Times New Roman"/>
                <w:noProof/>
              </w:rPr>
              <w:t>4.  Strateegia tegevussuundade eesmärgid ja toetatavad tegevused</w:t>
            </w:r>
            <w:r w:rsidR="00B411B4">
              <w:rPr>
                <w:noProof/>
                <w:webHidden/>
              </w:rPr>
              <w:tab/>
            </w:r>
            <w:r w:rsidR="00B411B4">
              <w:rPr>
                <w:noProof/>
                <w:webHidden/>
              </w:rPr>
              <w:fldChar w:fldCharType="begin"/>
            </w:r>
            <w:r w:rsidR="00B411B4">
              <w:rPr>
                <w:noProof/>
                <w:webHidden/>
              </w:rPr>
              <w:instrText xml:space="preserve"> PAGEREF _Toc157420957 \h </w:instrText>
            </w:r>
            <w:r w:rsidR="00B411B4">
              <w:rPr>
                <w:noProof/>
                <w:webHidden/>
              </w:rPr>
            </w:r>
            <w:r w:rsidR="00B411B4">
              <w:rPr>
                <w:noProof/>
                <w:webHidden/>
              </w:rPr>
              <w:fldChar w:fldCharType="separate"/>
            </w:r>
            <w:r w:rsidR="009D53B4">
              <w:rPr>
                <w:noProof/>
                <w:webHidden/>
              </w:rPr>
              <w:t>55</w:t>
            </w:r>
            <w:r w:rsidR="00B411B4">
              <w:rPr>
                <w:noProof/>
                <w:webHidden/>
              </w:rPr>
              <w:fldChar w:fldCharType="end"/>
            </w:r>
          </w:hyperlink>
        </w:p>
        <w:p w14:paraId="5AE7D3B7" w14:textId="34AAB14D"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58" w:history="1">
            <w:r w:rsidR="00B411B4" w:rsidRPr="00F91FE9">
              <w:rPr>
                <w:rStyle w:val="Hperlink"/>
                <w:rFonts w:eastAsia="Times New Roman"/>
                <w:noProof/>
              </w:rPr>
              <w:t>4.1. Tegevussuund 1:Vee-elusressursside väärindamine ja otseturustamine</w:t>
            </w:r>
            <w:r w:rsidR="00B411B4">
              <w:rPr>
                <w:noProof/>
                <w:webHidden/>
              </w:rPr>
              <w:tab/>
            </w:r>
            <w:r w:rsidR="00B411B4">
              <w:rPr>
                <w:noProof/>
                <w:webHidden/>
              </w:rPr>
              <w:fldChar w:fldCharType="begin"/>
            </w:r>
            <w:r w:rsidR="00B411B4">
              <w:rPr>
                <w:noProof/>
                <w:webHidden/>
              </w:rPr>
              <w:instrText xml:space="preserve"> PAGEREF _Toc157420958 \h </w:instrText>
            </w:r>
            <w:r w:rsidR="00B411B4">
              <w:rPr>
                <w:noProof/>
                <w:webHidden/>
              </w:rPr>
            </w:r>
            <w:r w:rsidR="00B411B4">
              <w:rPr>
                <w:noProof/>
                <w:webHidden/>
              </w:rPr>
              <w:fldChar w:fldCharType="separate"/>
            </w:r>
            <w:r w:rsidR="009D53B4">
              <w:rPr>
                <w:noProof/>
                <w:webHidden/>
              </w:rPr>
              <w:t>55</w:t>
            </w:r>
            <w:r w:rsidR="00B411B4">
              <w:rPr>
                <w:noProof/>
                <w:webHidden/>
              </w:rPr>
              <w:fldChar w:fldCharType="end"/>
            </w:r>
          </w:hyperlink>
        </w:p>
        <w:p w14:paraId="0AB1EC33" w14:textId="0026C4D5"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59" w:history="1">
            <w:r w:rsidR="00B411B4" w:rsidRPr="00F91FE9">
              <w:rPr>
                <w:rStyle w:val="Hperlink"/>
                <w:rFonts w:eastAsia="Times New Roman"/>
                <w:noProof/>
              </w:rPr>
              <w:t>4.2. Tegevussuund 2: Sadamate taristu parendamine ja pakutavate teenuste mitmekesistamine</w:t>
            </w:r>
            <w:r w:rsidR="00B411B4">
              <w:rPr>
                <w:noProof/>
                <w:webHidden/>
              </w:rPr>
              <w:tab/>
            </w:r>
            <w:r w:rsidR="00B411B4">
              <w:rPr>
                <w:noProof/>
                <w:webHidden/>
              </w:rPr>
              <w:fldChar w:fldCharType="begin"/>
            </w:r>
            <w:r w:rsidR="00B411B4">
              <w:rPr>
                <w:noProof/>
                <w:webHidden/>
              </w:rPr>
              <w:instrText xml:space="preserve"> PAGEREF _Toc157420959 \h </w:instrText>
            </w:r>
            <w:r w:rsidR="00B411B4">
              <w:rPr>
                <w:noProof/>
                <w:webHidden/>
              </w:rPr>
            </w:r>
            <w:r w:rsidR="00B411B4">
              <w:rPr>
                <w:noProof/>
                <w:webHidden/>
              </w:rPr>
              <w:fldChar w:fldCharType="separate"/>
            </w:r>
            <w:r w:rsidR="009D53B4">
              <w:rPr>
                <w:noProof/>
                <w:webHidden/>
              </w:rPr>
              <w:t>57</w:t>
            </w:r>
            <w:r w:rsidR="00B411B4">
              <w:rPr>
                <w:noProof/>
                <w:webHidden/>
              </w:rPr>
              <w:fldChar w:fldCharType="end"/>
            </w:r>
          </w:hyperlink>
        </w:p>
        <w:p w14:paraId="66BF1666" w14:textId="13038CD9"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60" w:history="1">
            <w:r w:rsidR="00B411B4" w:rsidRPr="00F91FE9">
              <w:rPr>
                <w:rStyle w:val="Hperlink"/>
                <w:rFonts w:ascii="Times New Roman" w:hAnsi="Times New Roman" w:cs="Times New Roman"/>
                <w:noProof/>
              </w:rPr>
              <w:t>4.2.1. Strateegiasse lisatavate sadamate analüüs ja sadamate nimistu koostamine</w:t>
            </w:r>
            <w:r w:rsidR="00B411B4">
              <w:rPr>
                <w:noProof/>
                <w:webHidden/>
              </w:rPr>
              <w:tab/>
            </w:r>
            <w:r w:rsidR="00B411B4">
              <w:rPr>
                <w:noProof/>
                <w:webHidden/>
              </w:rPr>
              <w:fldChar w:fldCharType="begin"/>
            </w:r>
            <w:r w:rsidR="00B411B4">
              <w:rPr>
                <w:noProof/>
                <w:webHidden/>
              </w:rPr>
              <w:instrText xml:space="preserve"> PAGEREF _Toc157420960 \h </w:instrText>
            </w:r>
            <w:r w:rsidR="00B411B4">
              <w:rPr>
                <w:noProof/>
                <w:webHidden/>
              </w:rPr>
            </w:r>
            <w:r w:rsidR="00B411B4">
              <w:rPr>
                <w:noProof/>
                <w:webHidden/>
              </w:rPr>
              <w:fldChar w:fldCharType="separate"/>
            </w:r>
            <w:r w:rsidR="009D53B4">
              <w:rPr>
                <w:noProof/>
                <w:webHidden/>
              </w:rPr>
              <w:t>58</w:t>
            </w:r>
            <w:r w:rsidR="00B411B4">
              <w:rPr>
                <w:noProof/>
                <w:webHidden/>
              </w:rPr>
              <w:fldChar w:fldCharType="end"/>
            </w:r>
          </w:hyperlink>
        </w:p>
        <w:p w14:paraId="4BCB37E5" w14:textId="313749A8"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61" w:history="1">
            <w:r w:rsidR="00B411B4" w:rsidRPr="00F91FE9">
              <w:rPr>
                <w:rStyle w:val="Hperlink"/>
                <w:rFonts w:eastAsia="Times New Roman"/>
                <w:noProof/>
              </w:rPr>
              <w:t>4.3. Tegevussuund 3: Majandustegevuse mitmekesistamine</w:t>
            </w:r>
            <w:r w:rsidR="00B411B4">
              <w:rPr>
                <w:noProof/>
                <w:webHidden/>
              </w:rPr>
              <w:tab/>
            </w:r>
            <w:r w:rsidR="00B411B4">
              <w:rPr>
                <w:noProof/>
                <w:webHidden/>
              </w:rPr>
              <w:fldChar w:fldCharType="begin"/>
            </w:r>
            <w:r w:rsidR="00B411B4">
              <w:rPr>
                <w:noProof/>
                <w:webHidden/>
              </w:rPr>
              <w:instrText xml:space="preserve"> PAGEREF _Toc157420961 \h </w:instrText>
            </w:r>
            <w:r w:rsidR="00B411B4">
              <w:rPr>
                <w:noProof/>
                <w:webHidden/>
              </w:rPr>
            </w:r>
            <w:r w:rsidR="00B411B4">
              <w:rPr>
                <w:noProof/>
                <w:webHidden/>
              </w:rPr>
              <w:fldChar w:fldCharType="separate"/>
            </w:r>
            <w:r w:rsidR="009D53B4">
              <w:rPr>
                <w:noProof/>
                <w:webHidden/>
              </w:rPr>
              <w:t>59</w:t>
            </w:r>
            <w:r w:rsidR="00B411B4">
              <w:rPr>
                <w:noProof/>
                <w:webHidden/>
              </w:rPr>
              <w:fldChar w:fldCharType="end"/>
            </w:r>
          </w:hyperlink>
        </w:p>
        <w:p w14:paraId="4E2C3B29" w14:textId="07A5ED68"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62" w:history="1">
            <w:r w:rsidR="00B411B4" w:rsidRPr="00F91FE9">
              <w:rPr>
                <w:rStyle w:val="Hperlink"/>
                <w:rFonts w:eastAsia="Times New Roman"/>
                <w:noProof/>
              </w:rPr>
              <w:t>4.4. Tegevussuund 4: Looduskeskkonna tingimuste parendamine</w:t>
            </w:r>
            <w:r w:rsidR="00B411B4">
              <w:rPr>
                <w:noProof/>
                <w:webHidden/>
              </w:rPr>
              <w:tab/>
            </w:r>
            <w:r w:rsidR="00B411B4">
              <w:rPr>
                <w:noProof/>
                <w:webHidden/>
              </w:rPr>
              <w:fldChar w:fldCharType="begin"/>
            </w:r>
            <w:r w:rsidR="00B411B4">
              <w:rPr>
                <w:noProof/>
                <w:webHidden/>
              </w:rPr>
              <w:instrText xml:space="preserve"> PAGEREF _Toc157420962 \h </w:instrText>
            </w:r>
            <w:r w:rsidR="00B411B4">
              <w:rPr>
                <w:noProof/>
                <w:webHidden/>
              </w:rPr>
            </w:r>
            <w:r w:rsidR="00B411B4">
              <w:rPr>
                <w:noProof/>
                <w:webHidden/>
              </w:rPr>
              <w:fldChar w:fldCharType="separate"/>
            </w:r>
            <w:r w:rsidR="009D53B4">
              <w:rPr>
                <w:noProof/>
                <w:webHidden/>
              </w:rPr>
              <w:t>61</w:t>
            </w:r>
            <w:r w:rsidR="00B411B4">
              <w:rPr>
                <w:noProof/>
                <w:webHidden/>
              </w:rPr>
              <w:fldChar w:fldCharType="end"/>
            </w:r>
          </w:hyperlink>
        </w:p>
        <w:p w14:paraId="11E66E1D" w14:textId="79C1432C"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63" w:history="1">
            <w:r w:rsidR="00B411B4" w:rsidRPr="00F91FE9">
              <w:rPr>
                <w:rStyle w:val="Hperlink"/>
                <w:rFonts w:eastAsia="Times New Roman"/>
                <w:noProof/>
              </w:rPr>
              <w:t>4.5. Tegevussuund 5: Kalanduse- ja merenduse kultuuripärandi edendamine kalanduspiirkonnas</w:t>
            </w:r>
            <w:r w:rsidR="00B411B4">
              <w:rPr>
                <w:noProof/>
                <w:webHidden/>
              </w:rPr>
              <w:tab/>
            </w:r>
            <w:r w:rsidR="00B411B4">
              <w:rPr>
                <w:noProof/>
                <w:webHidden/>
              </w:rPr>
              <w:fldChar w:fldCharType="begin"/>
            </w:r>
            <w:r w:rsidR="00B411B4">
              <w:rPr>
                <w:noProof/>
                <w:webHidden/>
              </w:rPr>
              <w:instrText xml:space="preserve"> PAGEREF _Toc157420963 \h </w:instrText>
            </w:r>
            <w:r w:rsidR="00B411B4">
              <w:rPr>
                <w:noProof/>
                <w:webHidden/>
              </w:rPr>
            </w:r>
            <w:r w:rsidR="00B411B4">
              <w:rPr>
                <w:noProof/>
                <w:webHidden/>
              </w:rPr>
              <w:fldChar w:fldCharType="separate"/>
            </w:r>
            <w:r w:rsidR="009D53B4">
              <w:rPr>
                <w:noProof/>
                <w:webHidden/>
              </w:rPr>
              <w:t>63</w:t>
            </w:r>
            <w:r w:rsidR="00B411B4">
              <w:rPr>
                <w:noProof/>
                <w:webHidden/>
              </w:rPr>
              <w:fldChar w:fldCharType="end"/>
            </w:r>
          </w:hyperlink>
        </w:p>
        <w:p w14:paraId="501AF652" w14:textId="1F2A686C"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64" w:history="1">
            <w:r w:rsidR="00B411B4" w:rsidRPr="00F91FE9">
              <w:rPr>
                <w:rStyle w:val="Hperlink"/>
                <w:rFonts w:eastAsia="Times New Roman"/>
                <w:noProof/>
              </w:rPr>
              <w:t>4.6. Tegevussuund 6: Kalurite teadmiste ja oskuste edendamine</w:t>
            </w:r>
            <w:r w:rsidR="00B411B4">
              <w:rPr>
                <w:noProof/>
                <w:webHidden/>
              </w:rPr>
              <w:tab/>
            </w:r>
            <w:r w:rsidR="00B411B4">
              <w:rPr>
                <w:noProof/>
                <w:webHidden/>
              </w:rPr>
              <w:fldChar w:fldCharType="begin"/>
            </w:r>
            <w:r w:rsidR="00B411B4">
              <w:rPr>
                <w:noProof/>
                <w:webHidden/>
              </w:rPr>
              <w:instrText xml:space="preserve"> PAGEREF _Toc157420964 \h </w:instrText>
            </w:r>
            <w:r w:rsidR="00B411B4">
              <w:rPr>
                <w:noProof/>
                <w:webHidden/>
              </w:rPr>
            </w:r>
            <w:r w:rsidR="00B411B4">
              <w:rPr>
                <w:noProof/>
                <w:webHidden/>
              </w:rPr>
              <w:fldChar w:fldCharType="separate"/>
            </w:r>
            <w:r w:rsidR="009D53B4">
              <w:rPr>
                <w:noProof/>
                <w:webHidden/>
              </w:rPr>
              <w:t>65</w:t>
            </w:r>
            <w:r w:rsidR="00B411B4">
              <w:rPr>
                <w:noProof/>
                <w:webHidden/>
              </w:rPr>
              <w:fldChar w:fldCharType="end"/>
            </w:r>
          </w:hyperlink>
        </w:p>
        <w:p w14:paraId="356892F0" w14:textId="2233C104"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65" w:history="1">
            <w:r w:rsidR="00B411B4" w:rsidRPr="00F91FE9">
              <w:rPr>
                <w:rStyle w:val="Hperlink"/>
                <w:rFonts w:eastAsia="Times New Roman"/>
                <w:noProof/>
              </w:rPr>
              <w:t>4.7. Strateegia lõimitus ja uuenduslikkus</w:t>
            </w:r>
            <w:r w:rsidR="00B411B4">
              <w:rPr>
                <w:noProof/>
                <w:webHidden/>
              </w:rPr>
              <w:tab/>
            </w:r>
            <w:r w:rsidR="00B411B4">
              <w:rPr>
                <w:noProof/>
                <w:webHidden/>
              </w:rPr>
              <w:fldChar w:fldCharType="begin"/>
            </w:r>
            <w:r w:rsidR="00B411B4">
              <w:rPr>
                <w:noProof/>
                <w:webHidden/>
              </w:rPr>
              <w:instrText xml:space="preserve"> PAGEREF _Toc157420965 \h </w:instrText>
            </w:r>
            <w:r w:rsidR="00B411B4">
              <w:rPr>
                <w:noProof/>
                <w:webHidden/>
              </w:rPr>
            </w:r>
            <w:r w:rsidR="00B411B4">
              <w:rPr>
                <w:noProof/>
                <w:webHidden/>
              </w:rPr>
              <w:fldChar w:fldCharType="separate"/>
            </w:r>
            <w:r w:rsidR="009D53B4">
              <w:rPr>
                <w:noProof/>
                <w:webHidden/>
              </w:rPr>
              <w:t>66</w:t>
            </w:r>
            <w:r w:rsidR="00B411B4">
              <w:rPr>
                <w:noProof/>
                <w:webHidden/>
              </w:rPr>
              <w:fldChar w:fldCharType="end"/>
            </w:r>
          </w:hyperlink>
        </w:p>
        <w:p w14:paraId="07D9D14A" w14:textId="7C324A2A"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66" w:history="1">
            <w:r w:rsidR="00B411B4" w:rsidRPr="00F91FE9">
              <w:rPr>
                <w:rStyle w:val="Hperlink"/>
                <w:rFonts w:eastAsia="Times New Roman"/>
                <w:noProof/>
              </w:rPr>
              <w:t>4.8. Strateegia seosed muude arengudokumentidega</w:t>
            </w:r>
            <w:r w:rsidR="00B411B4">
              <w:rPr>
                <w:noProof/>
                <w:webHidden/>
              </w:rPr>
              <w:tab/>
            </w:r>
            <w:r w:rsidR="00B411B4">
              <w:rPr>
                <w:noProof/>
                <w:webHidden/>
              </w:rPr>
              <w:fldChar w:fldCharType="begin"/>
            </w:r>
            <w:r w:rsidR="00B411B4">
              <w:rPr>
                <w:noProof/>
                <w:webHidden/>
              </w:rPr>
              <w:instrText xml:space="preserve"> PAGEREF _Toc157420966 \h </w:instrText>
            </w:r>
            <w:r w:rsidR="00B411B4">
              <w:rPr>
                <w:noProof/>
                <w:webHidden/>
              </w:rPr>
            </w:r>
            <w:r w:rsidR="00B411B4">
              <w:rPr>
                <w:noProof/>
                <w:webHidden/>
              </w:rPr>
              <w:fldChar w:fldCharType="separate"/>
            </w:r>
            <w:r w:rsidR="009D53B4">
              <w:rPr>
                <w:noProof/>
                <w:webHidden/>
              </w:rPr>
              <w:t>68</w:t>
            </w:r>
            <w:r w:rsidR="00B411B4">
              <w:rPr>
                <w:noProof/>
                <w:webHidden/>
              </w:rPr>
              <w:fldChar w:fldCharType="end"/>
            </w:r>
          </w:hyperlink>
        </w:p>
        <w:p w14:paraId="4A3EBE07" w14:textId="2A4C6393"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67" w:history="1">
            <w:r w:rsidR="00B411B4" w:rsidRPr="00F91FE9">
              <w:rPr>
                <w:rStyle w:val="Hperlink"/>
                <w:rFonts w:ascii="Times New Roman" w:eastAsia="Times New Roman" w:hAnsi="Times New Roman" w:cs="Times New Roman"/>
                <w:noProof/>
              </w:rPr>
              <w:t>4.8.1. Sidusus erinevate EL arengufondidega</w:t>
            </w:r>
            <w:r w:rsidR="00B411B4">
              <w:rPr>
                <w:noProof/>
                <w:webHidden/>
              </w:rPr>
              <w:tab/>
            </w:r>
            <w:r w:rsidR="00B411B4">
              <w:rPr>
                <w:noProof/>
                <w:webHidden/>
              </w:rPr>
              <w:fldChar w:fldCharType="begin"/>
            </w:r>
            <w:r w:rsidR="00B411B4">
              <w:rPr>
                <w:noProof/>
                <w:webHidden/>
              </w:rPr>
              <w:instrText xml:space="preserve"> PAGEREF _Toc157420967 \h </w:instrText>
            </w:r>
            <w:r w:rsidR="00B411B4">
              <w:rPr>
                <w:noProof/>
                <w:webHidden/>
              </w:rPr>
            </w:r>
            <w:r w:rsidR="00B411B4">
              <w:rPr>
                <w:noProof/>
                <w:webHidden/>
              </w:rPr>
              <w:fldChar w:fldCharType="separate"/>
            </w:r>
            <w:r w:rsidR="009D53B4">
              <w:rPr>
                <w:noProof/>
                <w:webHidden/>
              </w:rPr>
              <w:t>68</w:t>
            </w:r>
            <w:r w:rsidR="00B411B4">
              <w:rPr>
                <w:noProof/>
                <w:webHidden/>
              </w:rPr>
              <w:fldChar w:fldCharType="end"/>
            </w:r>
          </w:hyperlink>
        </w:p>
        <w:p w14:paraId="640CEA95" w14:textId="1C1EB55D"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68" w:history="1">
            <w:r w:rsidR="00B411B4" w:rsidRPr="00F91FE9">
              <w:rPr>
                <w:rStyle w:val="Hperlink"/>
                <w:rFonts w:ascii="Times New Roman" w:eastAsia="Times New Roman" w:hAnsi="Times New Roman" w:cs="Times New Roman"/>
                <w:noProof/>
              </w:rPr>
              <w:t>4.8.2. Sidusus erinevate arenguprogrammidaga</w:t>
            </w:r>
            <w:r w:rsidR="00B411B4">
              <w:rPr>
                <w:noProof/>
                <w:webHidden/>
              </w:rPr>
              <w:tab/>
            </w:r>
            <w:r w:rsidR="00B411B4">
              <w:rPr>
                <w:noProof/>
                <w:webHidden/>
              </w:rPr>
              <w:fldChar w:fldCharType="begin"/>
            </w:r>
            <w:r w:rsidR="00B411B4">
              <w:rPr>
                <w:noProof/>
                <w:webHidden/>
              </w:rPr>
              <w:instrText xml:space="preserve"> PAGEREF _Toc157420968 \h </w:instrText>
            </w:r>
            <w:r w:rsidR="00B411B4">
              <w:rPr>
                <w:noProof/>
                <w:webHidden/>
              </w:rPr>
            </w:r>
            <w:r w:rsidR="00B411B4">
              <w:rPr>
                <w:noProof/>
                <w:webHidden/>
              </w:rPr>
              <w:fldChar w:fldCharType="separate"/>
            </w:r>
            <w:r w:rsidR="009D53B4">
              <w:rPr>
                <w:noProof/>
                <w:webHidden/>
              </w:rPr>
              <w:t>68</w:t>
            </w:r>
            <w:r w:rsidR="00B411B4">
              <w:rPr>
                <w:noProof/>
                <w:webHidden/>
              </w:rPr>
              <w:fldChar w:fldCharType="end"/>
            </w:r>
          </w:hyperlink>
        </w:p>
        <w:p w14:paraId="5E904060" w14:textId="327112FD"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69" w:history="1">
            <w:r w:rsidR="00B411B4" w:rsidRPr="00F91FE9">
              <w:rPr>
                <w:rStyle w:val="Hperlink"/>
                <w:rFonts w:ascii="Times New Roman" w:eastAsia="Times New Roman" w:hAnsi="Times New Roman" w:cs="Times New Roman"/>
                <w:noProof/>
              </w:rPr>
              <w:t>4.8.3. Sidusus erinevate siseriiklike EL arengudokumentidega</w:t>
            </w:r>
            <w:r w:rsidR="00B411B4">
              <w:rPr>
                <w:noProof/>
                <w:webHidden/>
              </w:rPr>
              <w:tab/>
            </w:r>
            <w:r w:rsidR="00B411B4">
              <w:rPr>
                <w:noProof/>
                <w:webHidden/>
              </w:rPr>
              <w:fldChar w:fldCharType="begin"/>
            </w:r>
            <w:r w:rsidR="00B411B4">
              <w:rPr>
                <w:noProof/>
                <w:webHidden/>
              </w:rPr>
              <w:instrText xml:space="preserve"> PAGEREF _Toc157420969 \h </w:instrText>
            </w:r>
            <w:r w:rsidR="00B411B4">
              <w:rPr>
                <w:noProof/>
                <w:webHidden/>
              </w:rPr>
            </w:r>
            <w:r w:rsidR="00B411B4">
              <w:rPr>
                <w:noProof/>
                <w:webHidden/>
              </w:rPr>
              <w:fldChar w:fldCharType="separate"/>
            </w:r>
            <w:r w:rsidR="009D53B4">
              <w:rPr>
                <w:noProof/>
                <w:webHidden/>
              </w:rPr>
              <w:t>69</w:t>
            </w:r>
            <w:r w:rsidR="00B411B4">
              <w:rPr>
                <w:noProof/>
                <w:webHidden/>
              </w:rPr>
              <w:fldChar w:fldCharType="end"/>
            </w:r>
          </w:hyperlink>
        </w:p>
        <w:p w14:paraId="5F029271" w14:textId="05815440"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70" w:history="1">
            <w:r w:rsidR="00B411B4" w:rsidRPr="00F91FE9">
              <w:rPr>
                <w:rStyle w:val="Hperlink"/>
                <w:rFonts w:ascii="Times New Roman" w:eastAsia="Times New Roman" w:hAnsi="Times New Roman" w:cs="Times New Roman"/>
                <w:noProof/>
              </w:rPr>
              <w:t>4.8.4. Sidusus erinevate piirkondlike arengudokumentidega</w:t>
            </w:r>
            <w:r w:rsidR="00B411B4">
              <w:rPr>
                <w:noProof/>
                <w:webHidden/>
              </w:rPr>
              <w:tab/>
            </w:r>
            <w:r w:rsidR="00B411B4">
              <w:rPr>
                <w:noProof/>
                <w:webHidden/>
              </w:rPr>
              <w:fldChar w:fldCharType="begin"/>
            </w:r>
            <w:r w:rsidR="00B411B4">
              <w:rPr>
                <w:noProof/>
                <w:webHidden/>
              </w:rPr>
              <w:instrText xml:space="preserve"> PAGEREF _Toc157420970 \h </w:instrText>
            </w:r>
            <w:r w:rsidR="00B411B4">
              <w:rPr>
                <w:noProof/>
                <w:webHidden/>
              </w:rPr>
            </w:r>
            <w:r w:rsidR="00B411B4">
              <w:rPr>
                <w:noProof/>
                <w:webHidden/>
              </w:rPr>
              <w:fldChar w:fldCharType="separate"/>
            </w:r>
            <w:r w:rsidR="009D53B4">
              <w:rPr>
                <w:noProof/>
                <w:webHidden/>
              </w:rPr>
              <w:t>70</w:t>
            </w:r>
            <w:r w:rsidR="00B411B4">
              <w:rPr>
                <w:noProof/>
                <w:webHidden/>
              </w:rPr>
              <w:fldChar w:fldCharType="end"/>
            </w:r>
          </w:hyperlink>
        </w:p>
        <w:p w14:paraId="00B8E4A7" w14:textId="3953F82F"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71" w:history="1">
            <w:r w:rsidR="00B411B4" w:rsidRPr="00F91FE9">
              <w:rPr>
                <w:rStyle w:val="Hperlink"/>
                <w:noProof/>
              </w:rPr>
              <w:t>5. Strateegia koostamise ja kogukonna kaasamise protsess</w:t>
            </w:r>
            <w:r w:rsidR="00B411B4">
              <w:rPr>
                <w:noProof/>
                <w:webHidden/>
              </w:rPr>
              <w:tab/>
            </w:r>
            <w:r w:rsidR="00B411B4">
              <w:rPr>
                <w:noProof/>
                <w:webHidden/>
              </w:rPr>
              <w:fldChar w:fldCharType="begin"/>
            </w:r>
            <w:r w:rsidR="00B411B4">
              <w:rPr>
                <w:noProof/>
                <w:webHidden/>
              </w:rPr>
              <w:instrText xml:space="preserve"> PAGEREF _Toc157420971 \h </w:instrText>
            </w:r>
            <w:r w:rsidR="00B411B4">
              <w:rPr>
                <w:noProof/>
                <w:webHidden/>
              </w:rPr>
            </w:r>
            <w:r w:rsidR="00B411B4">
              <w:rPr>
                <w:noProof/>
                <w:webHidden/>
              </w:rPr>
              <w:fldChar w:fldCharType="separate"/>
            </w:r>
            <w:r w:rsidR="009D53B4">
              <w:rPr>
                <w:noProof/>
                <w:webHidden/>
              </w:rPr>
              <w:t>73</w:t>
            </w:r>
            <w:r w:rsidR="00B411B4">
              <w:rPr>
                <w:noProof/>
                <w:webHidden/>
              </w:rPr>
              <w:fldChar w:fldCharType="end"/>
            </w:r>
          </w:hyperlink>
        </w:p>
        <w:p w14:paraId="502887D9" w14:textId="6EA08AAB"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72" w:history="1">
            <w:r w:rsidR="00B411B4" w:rsidRPr="00F91FE9">
              <w:rPr>
                <w:rStyle w:val="Hperlink"/>
                <w:noProof/>
              </w:rPr>
              <w:t>6. Strateegia elluviimist toetavad tegevused</w:t>
            </w:r>
            <w:r w:rsidR="00B411B4">
              <w:rPr>
                <w:noProof/>
                <w:webHidden/>
              </w:rPr>
              <w:tab/>
            </w:r>
            <w:r w:rsidR="00B411B4">
              <w:rPr>
                <w:noProof/>
                <w:webHidden/>
              </w:rPr>
              <w:fldChar w:fldCharType="begin"/>
            </w:r>
            <w:r w:rsidR="00B411B4">
              <w:rPr>
                <w:noProof/>
                <w:webHidden/>
              </w:rPr>
              <w:instrText xml:space="preserve"> PAGEREF _Toc157420972 \h </w:instrText>
            </w:r>
            <w:r w:rsidR="00B411B4">
              <w:rPr>
                <w:noProof/>
                <w:webHidden/>
              </w:rPr>
            </w:r>
            <w:r w:rsidR="00B411B4">
              <w:rPr>
                <w:noProof/>
                <w:webHidden/>
              </w:rPr>
              <w:fldChar w:fldCharType="separate"/>
            </w:r>
            <w:r w:rsidR="009D53B4">
              <w:rPr>
                <w:noProof/>
                <w:webHidden/>
              </w:rPr>
              <w:t>74</w:t>
            </w:r>
            <w:r w:rsidR="00B411B4">
              <w:rPr>
                <w:noProof/>
                <w:webHidden/>
              </w:rPr>
              <w:fldChar w:fldCharType="end"/>
            </w:r>
          </w:hyperlink>
        </w:p>
        <w:p w14:paraId="3DF07DFA" w14:textId="09D8B276"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73" w:history="1">
            <w:r w:rsidR="00B411B4" w:rsidRPr="00F91FE9">
              <w:rPr>
                <w:rStyle w:val="Hperlink"/>
                <w:rFonts w:eastAsia="Times New Roman"/>
                <w:noProof/>
              </w:rPr>
              <w:t>6.1. Tegevusgrupi  töökorraldus</w:t>
            </w:r>
            <w:r w:rsidR="00B411B4">
              <w:rPr>
                <w:noProof/>
                <w:webHidden/>
              </w:rPr>
              <w:tab/>
            </w:r>
            <w:r w:rsidR="00B411B4">
              <w:rPr>
                <w:noProof/>
                <w:webHidden/>
              </w:rPr>
              <w:fldChar w:fldCharType="begin"/>
            </w:r>
            <w:r w:rsidR="00B411B4">
              <w:rPr>
                <w:noProof/>
                <w:webHidden/>
              </w:rPr>
              <w:instrText xml:space="preserve"> PAGEREF _Toc157420973 \h </w:instrText>
            </w:r>
            <w:r w:rsidR="00B411B4">
              <w:rPr>
                <w:noProof/>
                <w:webHidden/>
              </w:rPr>
            </w:r>
            <w:r w:rsidR="00B411B4">
              <w:rPr>
                <w:noProof/>
                <w:webHidden/>
              </w:rPr>
              <w:fldChar w:fldCharType="separate"/>
            </w:r>
            <w:r w:rsidR="009D53B4">
              <w:rPr>
                <w:noProof/>
                <w:webHidden/>
              </w:rPr>
              <w:t>74</w:t>
            </w:r>
            <w:r w:rsidR="00B411B4">
              <w:rPr>
                <w:noProof/>
                <w:webHidden/>
              </w:rPr>
              <w:fldChar w:fldCharType="end"/>
            </w:r>
          </w:hyperlink>
        </w:p>
        <w:p w14:paraId="4E1DC593" w14:textId="7B040BBC"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74" w:history="1">
            <w:r w:rsidR="00B411B4" w:rsidRPr="00F91FE9">
              <w:rPr>
                <w:rStyle w:val="Hperlink"/>
                <w:noProof/>
              </w:rPr>
              <w:t>6.2. Taotlejate võimekuse tõstmine</w:t>
            </w:r>
            <w:r w:rsidR="00B411B4">
              <w:rPr>
                <w:noProof/>
                <w:webHidden/>
              </w:rPr>
              <w:tab/>
            </w:r>
            <w:r w:rsidR="00B411B4">
              <w:rPr>
                <w:noProof/>
                <w:webHidden/>
              </w:rPr>
              <w:fldChar w:fldCharType="begin"/>
            </w:r>
            <w:r w:rsidR="00B411B4">
              <w:rPr>
                <w:noProof/>
                <w:webHidden/>
              </w:rPr>
              <w:instrText xml:space="preserve"> PAGEREF _Toc157420974 \h </w:instrText>
            </w:r>
            <w:r w:rsidR="00B411B4">
              <w:rPr>
                <w:noProof/>
                <w:webHidden/>
              </w:rPr>
            </w:r>
            <w:r w:rsidR="00B411B4">
              <w:rPr>
                <w:noProof/>
                <w:webHidden/>
              </w:rPr>
              <w:fldChar w:fldCharType="separate"/>
            </w:r>
            <w:r w:rsidR="009D53B4">
              <w:rPr>
                <w:noProof/>
                <w:webHidden/>
              </w:rPr>
              <w:t>76</w:t>
            </w:r>
            <w:r w:rsidR="00B411B4">
              <w:rPr>
                <w:noProof/>
                <w:webHidden/>
              </w:rPr>
              <w:fldChar w:fldCharType="end"/>
            </w:r>
          </w:hyperlink>
        </w:p>
        <w:p w14:paraId="67316580" w14:textId="5B2B1337"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75" w:history="1">
            <w:r w:rsidR="00B411B4" w:rsidRPr="00F91FE9">
              <w:rPr>
                <w:rStyle w:val="Hperlink"/>
                <w:noProof/>
              </w:rPr>
              <w:t>6.3. Ülevaade eelmise perioodi strateegia tulemustest</w:t>
            </w:r>
            <w:r w:rsidR="00B411B4">
              <w:rPr>
                <w:noProof/>
                <w:webHidden/>
              </w:rPr>
              <w:tab/>
            </w:r>
            <w:r w:rsidR="00B411B4">
              <w:rPr>
                <w:noProof/>
                <w:webHidden/>
              </w:rPr>
              <w:fldChar w:fldCharType="begin"/>
            </w:r>
            <w:r w:rsidR="00B411B4">
              <w:rPr>
                <w:noProof/>
                <w:webHidden/>
              </w:rPr>
              <w:instrText xml:space="preserve"> PAGEREF _Toc157420975 \h </w:instrText>
            </w:r>
            <w:r w:rsidR="00B411B4">
              <w:rPr>
                <w:noProof/>
                <w:webHidden/>
              </w:rPr>
            </w:r>
            <w:r w:rsidR="00B411B4">
              <w:rPr>
                <w:noProof/>
                <w:webHidden/>
              </w:rPr>
              <w:fldChar w:fldCharType="separate"/>
            </w:r>
            <w:r w:rsidR="009D53B4">
              <w:rPr>
                <w:noProof/>
                <w:webHidden/>
              </w:rPr>
              <w:t>77</w:t>
            </w:r>
            <w:r w:rsidR="00B411B4">
              <w:rPr>
                <w:noProof/>
                <w:webHidden/>
              </w:rPr>
              <w:fldChar w:fldCharType="end"/>
            </w:r>
          </w:hyperlink>
        </w:p>
        <w:p w14:paraId="6D0FDC2E" w14:textId="25C485AC"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76" w:history="1">
            <w:r w:rsidR="00B411B4" w:rsidRPr="00F91FE9">
              <w:rPr>
                <w:rStyle w:val="Hperlink"/>
                <w:rFonts w:ascii="Times New Roman" w:hAnsi="Times New Roman" w:cs="Times New Roman"/>
                <w:noProof/>
              </w:rPr>
              <w:t>6.3.1. Ülevaade taotlustest</w:t>
            </w:r>
            <w:r w:rsidR="00B411B4">
              <w:rPr>
                <w:noProof/>
                <w:webHidden/>
              </w:rPr>
              <w:tab/>
            </w:r>
            <w:r w:rsidR="00B411B4">
              <w:rPr>
                <w:noProof/>
                <w:webHidden/>
              </w:rPr>
              <w:fldChar w:fldCharType="begin"/>
            </w:r>
            <w:r w:rsidR="00B411B4">
              <w:rPr>
                <w:noProof/>
                <w:webHidden/>
              </w:rPr>
              <w:instrText xml:space="preserve"> PAGEREF _Toc157420976 \h </w:instrText>
            </w:r>
            <w:r w:rsidR="00B411B4">
              <w:rPr>
                <w:noProof/>
                <w:webHidden/>
              </w:rPr>
            </w:r>
            <w:r w:rsidR="00B411B4">
              <w:rPr>
                <w:noProof/>
                <w:webHidden/>
              </w:rPr>
              <w:fldChar w:fldCharType="separate"/>
            </w:r>
            <w:r w:rsidR="009D53B4">
              <w:rPr>
                <w:noProof/>
                <w:webHidden/>
              </w:rPr>
              <w:t>77</w:t>
            </w:r>
            <w:r w:rsidR="00B411B4">
              <w:rPr>
                <w:noProof/>
                <w:webHidden/>
              </w:rPr>
              <w:fldChar w:fldCharType="end"/>
            </w:r>
          </w:hyperlink>
        </w:p>
        <w:p w14:paraId="147EB425" w14:textId="2B92B802" w:rsidR="00B411B4" w:rsidRDefault="00000000">
          <w:pPr>
            <w:pStyle w:val="SK3"/>
            <w:tabs>
              <w:tab w:val="right" w:leader="dot" w:pos="9062"/>
            </w:tabs>
            <w:rPr>
              <w:rFonts w:asciiTheme="minorHAnsi" w:eastAsiaTheme="minorEastAsia" w:hAnsiTheme="minorHAnsi" w:cstheme="minorBidi"/>
              <w:noProof/>
              <w:kern w:val="2"/>
              <w:sz w:val="22"/>
              <w:szCs w:val="22"/>
              <w14:ligatures w14:val="standardContextual"/>
            </w:rPr>
          </w:pPr>
          <w:hyperlink w:anchor="_Toc157420977" w:history="1">
            <w:r w:rsidR="00B411B4" w:rsidRPr="00F91FE9">
              <w:rPr>
                <w:rStyle w:val="Hperlink"/>
                <w:rFonts w:ascii="Times New Roman" w:hAnsi="Times New Roman" w:cs="Times New Roman"/>
                <w:noProof/>
              </w:rPr>
              <w:t>6.3.2. Toetuse jaotus</w:t>
            </w:r>
            <w:r w:rsidR="00B411B4">
              <w:rPr>
                <w:noProof/>
                <w:webHidden/>
              </w:rPr>
              <w:tab/>
            </w:r>
            <w:r w:rsidR="00B411B4">
              <w:rPr>
                <w:noProof/>
                <w:webHidden/>
              </w:rPr>
              <w:fldChar w:fldCharType="begin"/>
            </w:r>
            <w:r w:rsidR="00B411B4">
              <w:rPr>
                <w:noProof/>
                <w:webHidden/>
              </w:rPr>
              <w:instrText xml:space="preserve"> PAGEREF _Toc157420977 \h </w:instrText>
            </w:r>
            <w:r w:rsidR="00B411B4">
              <w:rPr>
                <w:noProof/>
                <w:webHidden/>
              </w:rPr>
            </w:r>
            <w:r w:rsidR="00B411B4">
              <w:rPr>
                <w:noProof/>
                <w:webHidden/>
              </w:rPr>
              <w:fldChar w:fldCharType="separate"/>
            </w:r>
            <w:r w:rsidR="009D53B4">
              <w:rPr>
                <w:noProof/>
                <w:webHidden/>
              </w:rPr>
              <w:t>79</w:t>
            </w:r>
            <w:r w:rsidR="00B411B4">
              <w:rPr>
                <w:noProof/>
                <w:webHidden/>
              </w:rPr>
              <w:fldChar w:fldCharType="end"/>
            </w:r>
          </w:hyperlink>
        </w:p>
        <w:p w14:paraId="5BD1A46A" w14:textId="30646BB2"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78" w:history="1">
            <w:r w:rsidR="00B411B4" w:rsidRPr="00F91FE9">
              <w:rPr>
                <w:rStyle w:val="Hperlink"/>
                <w:rFonts w:eastAsia="Times New Roman"/>
                <w:noProof/>
              </w:rPr>
              <w:t>6.4. Taotlusvoorude korraldamine</w:t>
            </w:r>
            <w:r w:rsidR="00B411B4">
              <w:rPr>
                <w:noProof/>
                <w:webHidden/>
              </w:rPr>
              <w:tab/>
            </w:r>
            <w:r w:rsidR="00B411B4">
              <w:rPr>
                <w:noProof/>
                <w:webHidden/>
              </w:rPr>
              <w:fldChar w:fldCharType="begin"/>
            </w:r>
            <w:r w:rsidR="00B411B4">
              <w:rPr>
                <w:noProof/>
                <w:webHidden/>
              </w:rPr>
              <w:instrText xml:space="preserve"> PAGEREF _Toc157420978 \h </w:instrText>
            </w:r>
            <w:r w:rsidR="00B411B4">
              <w:rPr>
                <w:noProof/>
                <w:webHidden/>
              </w:rPr>
            </w:r>
            <w:r w:rsidR="00B411B4">
              <w:rPr>
                <w:noProof/>
                <w:webHidden/>
              </w:rPr>
              <w:fldChar w:fldCharType="separate"/>
            </w:r>
            <w:r w:rsidR="009D53B4">
              <w:rPr>
                <w:noProof/>
                <w:webHidden/>
              </w:rPr>
              <w:t>81</w:t>
            </w:r>
            <w:r w:rsidR="00B411B4">
              <w:rPr>
                <w:noProof/>
                <w:webHidden/>
              </w:rPr>
              <w:fldChar w:fldCharType="end"/>
            </w:r>
          </w:hyperlink>
        </w:p>
        <w:p w14:paraId="149D6076" w14:textId="4D7614B1"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79" w:history="1">
            <w:r w:rsidR="00B411B4" w:rsidRPr="00F91FE9">
              <w:rPr>
                <w:rStyle w:val="Hperlink"/>
                <w:noProof/>
              </w:rPr>
              <w:t>6.5. Kommunikatsiooniplaan</w:t>
            </w:r>
            <w:r w:rsidR="00B411B4">
              <w:rPr>
                <w:noProof/>
                <w:webHidden/>
              </w:rPr>
              <w:tab/>
            </w:r>
            <w:r w:rsidR="00B411B4">
              <w:rPr>
                <w:noProof/>
                <w:webHidden/>
              </w:rPr>
              <w:fldChar w:fldCharType="begin"/>
            </w:r>
            <w:r w:rsidR="00B411B4">
              <w:rPr>
                <w:noProof/>
                <w:webHidden/>
              </w:rPr>
              <w:instrText xml:space="preserve"> PAGEREF _Toc157420979 \h </w:instrText>
            </w:r>
            <w:r w:rsidR="00B411B4">
              <w:rPr>
                <w:noProof/>
                <w:webHidden/>
              </w:rPr>
            </w:r>
            <w:r w:rsidR="00B411B4">
              <w:rPr>
                <w:noProof/>
                <w:webHidden/>
              </w:rPr>
              <w:fldChar w:fldCharType="separate"/>
            </w:r>
            <w:r w:rsidR="009D53B4">
              <w:rPr>
                <w:noProof/>
                <w:webHidden/>
              </w:rPr>
              <w:t>81</w:t>
            </w:r>
            <w:r w:rsidR="00B411B4">
              <w:rPr>
                <w:noProof/>
                <w:webHidden/>
              </w:rPr>
              <w:fldChar w:fldCharType="end"/>
            </w:r>
          </w:hyperlink>
        </w:p>
        <w:p w14:paraId="748A3C32" w14:textId="38F1E395"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80" w:history="1">
            <w:r w:rsidR="00B411B4" w:rsidRPr="00F91FE9">
              <w:rPr>
                <w:rStyle w:val="Hperlink"/>
                <w:rFonts w:eastAsia="Times New Roman"/>
                <w:noProof/>
              </w:rPr>
              <w:t>6.6. Projektide seire ja strateegia tulemuslikkuse hindamine</w:t>
            </w:r>
            <w:r w:rsidR="00B411B4">
              <w:rPr>
                <w:noProof/>
                <w:webHidden/>
              </w:rPr>
              <w:tab/>
            </w:r>
            <w:r w:rsidR="00B411B4">
              <w:rPr>
                <w:noProof/>
                <w:webHidden/>
              </w:rPr>
              <w:fldChar w:fldCharType="begin"/>
            </w:r>
            <w:r w:rsidR="00B411B4">
              <w:rPr>
                <w:noProof/>
                <w:webHidden/>
              </w:rPr>
              <w:instrText xml:space="preserve"> PAGEREF _Toc157420980 \h </w:instrText>
            </w:r>
            <w:r w:rsidR="00B411B4">
              <w:rPr>
                <w:noProof/>
                <w:webHidden/>
              </w:rPr>
            </w:r>
            <w:r w:rsidR="00B411B4">
              <w:rPr>
                <w:noProof/>
                <w:webHidden/>
              </w:rPr>
              <w:fldChar w:fldCharType="separate"/>
            </w:r>
            <w:r w:rsidR="009D53B4">
              <w:rPr>
                <w:noProof/>
                <w:webHidden/>
              </w:rPr>
              <w:t>82</w:t>
            </w:r>
            <w:r w:rsidR="00B411B4">
              <w:rPr>
                <w:noProof/>
                <w:webHidden/>
              </w:rPr>
              <w:fldChar w:fldCharType="end"/>
            </w:r>
          </w:hyperlink>
        </w:p>
        <w:p w14:paraId="7634463E" w14:textId="54F0695F"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81" w:history="1">
            <w:r w:rsidR="00B411B4" w:rsidRPr="00F91FE9">
              <w:rPr>
                <w:rStyle w:val="Hperlink"/>
                <w:rFonts w:eastAsia="Times New Roman"/>
                <w:noProof/>
              </w:rPr>
              <w:t>6.7. Strateegia muutmine</w:t>
            </w:r>
            <w:r w:rsidR="00B411B4">
              <w:rPr>
                <w:noProof/>
                <w:webHidden/>
              </w:rPr>
              <w:tab/>
            </w:r>
            <w:r w:rsidR="00B411B4">
              <w:rPr>
                <w:noProof/>
                <w:webHidden/>
              </w:rPr>
              <w:fldChar w:fldCharType="begin"/>
            </w:r>
            <w:r w:rsidR="00B411B4">
              <w:rPr>
                <w:noProof/>
                <w:webHidden/>
              </w:rPr>
              <w:instrText xml:space="preserve"> PAGEREF _Toc157420981 \h </w:instrText>
            </w:r>
            <w:r w:rsidR="00B411B4">
              <w:rPr>
                <w:noProof/>
                <w:webHidden/>
              </w:rPr>
            </w:r>
            <w:r w:rsidR="00B411B4">
              <w:rPr>
                <w:noProof/>
                <w:webHidden/>
              </w:rPr>
              <w:fldChar w:fldCharType="separate"/>
            </w:r>
            <w:r w:rsidR="009D53B4">
              <w:rPr>
                <w:noProof/>
                <w:webHidden/>
              </w:rPr>
              <w:t>84</w:t>
            </w:r>
            <w:r w:rsidR="00B411B4">
              <w:rPr>
                <w:noProof/>
                <w:webHidden/>
              </w:rPr>
              <w:fldChar w:fldCharType="end"/>
            </w:r>
          </w:hyperlink>
        </w:p>
        <w:p w14:paraId="4E77B0EF" w14:textId="7FF82C4B"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82" w:history="1">
            <w:r w:rsidR="00B411B4" w:rsidRPr="00F91FE9">
              <w:rPr>
                <w:rStyle w:val="Hperlink"/>
                <w:rFonts w:eastAsia="Times New Roman"/>
                <w:noProof/>
              </w:rPr>
              <w:t>7. Rahastamiskava</w:t>
            </w:r>
            <w:r w:rsidR="00B411B4">
              <w:rPr>
                <w:noProof/>
                <w:webHidden/>
              </w:rPr>
              <w:tab/>
            </w:r>
            <w:r w:rsidR="00B411B4">
              <w:rPr>
                <w:noProof/>
                <w:webHidden/>
              </w:rPr>
              <w:fldChar w:fldCharType="begin"/>
            </w:r>
            <w:r w:rsidR="00B411B4">
              <w:rPr>
                <w:noProof/>
                <w:webHidden/>
              </w:rPr>
              <w:instrText xml:space="preserve"> PAGEREF _Toc157420982 \h </w:instrText>
            </w:r>
            <w:r w:rsidR="00B411B4">
              <w:rPr>
                <w:noProof/>
                <w:webHidden/>
              </w:rPr>
            </w:r>
            <w:r w:rsidR="00B411B4">
              <w:rPr>
                <w:noProof/>
                <w:webHidden/>
              </w:rPr>
              <w:fldChar w:fldCharType="separate"/>
            </w:r>
            <w:r w:rsidR="009D53B4">
              <w:rPr>
                <w:noProof/>
                <w:webHidden/>
              </w:rPr>
              <w:t>85</w:t>
            </w:r>
            <w:r w:rsidR="00B411B4">
              <w:rPr>
                <w:noProof/>
                <w:webHidden/>
              </w:rPr>
              <w:fldChar w:fldCharType="end"/>
            </w:r>
          </w:hyperlink>
        </w:p>
        <w:p w14:paraId="60CB96C4" w14:textId="11370F34"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83" w:history="1">
            <w:r w:rsidR="00B411B4" w:rsidRPr="00F91FE9">
              <w:rPr>
                <w:rStyle w:val="Hperlink"/>
                <w:rFonts w:eastAsia="Times New Roman"/>
                <w:noProof/>
              </w:rPr>
              <w:t>7.1. Tegevussuundade eelarve</w:t>
            </w:r>
            <w:r w:rsidR="00B411B4">
              <w:rPr>
                <w:noProof/>
                <w:webHidden/>
              </w:rPr>
              <w:tab/>
            </w:r>
            <w:r w:rsidR="00B411B4">
              <w:rPr>
                <w:noProof/>
                <w:webHidden/>
              </w:rPr>
              <w:fldChar w:fldCharType="begin"/>
            </w:r>
            <w:r w:rsidR="00B411B4">
              <w:rPr>
                <w:noProof/>
                <w:webHidden/>
              </w:rPr>
              <w:instrText xml:space="preserve"> PAGEREF _Toc157420983 \h </w:instrText>
            </w:r>
            <w:r w:rsidR="00B411B4">
              <w:rPr>
                <w:noProof/>
                <w:webHidden/>
              </w:rPr>
            </w:r>
            <w:r w:rsidR="00B411B4">
              <w:rPr>
                <w:noProof/>
                <w:webHidden/>
              </w:rPr>
              <w:fldChar w:fldCharType="separate"/>
            </w:r>
            <w:r w:rsidR="009D53B4">
              <w:rPr>
                <w:noProof/>
                <w:webHidden/>
              </w:rPr>
              <w:t>85</w:t>
            </w:r>
            <w:r w:rsidR="00B411B4">
              <w:rPr>
                <w:noProof/>
                <w:webHidden/>
              </w:rPr>
              <w:fldChar w:fldCharType="end"/>
            </w:r>
          </w:hyperlink>
        </w:p>
        <w:p w14:paraId="7D63C427" w14:textId="55D3C8BC" w:rsidR="00B411B4" w:rsidRDefault="00000000">
          <w:pPr>
            <w:pStyle w:val="SK2"/>
            <w:rPr>
              <w:rFonts w:asciiTheme="minorHAnsi" w:eastAsiaTheme="minorEastAsia" w:hAnsiTheme="minorHAnsi" w:cstheme="minorBidi"/>
              <w:b w:val="0"/>
              <w:bCs w:val="0"/>
              <w:noProof/>
              <w:kern w:val="2"/>
              <w:sz w:val="22"/>
              <w:szCs w:val="22"/>
              <w14:ligatures w14:val="standardContextual"/>
            </w:rPr>
          </w:pPr>
          <w:hyperlink w:anchor="_Toc157420984" w:history="1">
            <w:r w:rsidR="00B411B4" w:rsidRPr="00F91FE9">
              <w:rPr>
                <w:rStyle w:val="Hperlink"/>
                <w:noProof/>
              </w:rPr>
              <w:t>7.2. Tegevusrühma eelarve</w:t>
            </w:r>
            <w:r w:rsidR="00B411B4">
              <w:rPr>
                <w:noProof/>
                <w:webHidden/>
              </w:rPr>
              <w:tab/>
            </w:r>
            <w:r w:rsidR="00B411B4">
              <w:rPr>
                <w:noProof/>
                <w:webHidden/>
              </w:rPr>
              <w:fldChar w:fldCharType="begin"/>
            </w:r>
            <w:r w:rsidR="00B411B4">
              <w:rPr>
                <w:noProof/>
                <w:webHidden/>
              </w:rPr>
              <w:instrText xml:space="preserve"> PAGEREF _Toc157420984 \h </w:instrText>
            </w:r>
            <w:r w:rsidR="00B411B4">
              <w:rPr>
                <w:noProof/>
                <w:webHidden/>
              </w:rPr>
            </w:r>
            <w:r w:rsidR="00B411B4">
              <w:rPr>
                <w:noProof/>
                <w:webHidden/>
              </w:rPr>
              <w:fldChar w:fldCharType="separate"/>
            </w:r>
            <w:r w:rsidR="009D53B4">
              <w:rPr>
                <w:noProof/>
                <w:webHidden/>
              </w:rPr>
              <w:t>87</w:t>
            </w:r>
            <w:r w:rsidR="00B411B4">
              <w:rPr>
                <w:noProof/>
                <w:webHidden/>
              </w:rPr>
              <w:fldChar w:fldCharType="end"/>
            </w:r>
          </w:hyperlink>
        </w:p>
        <w:p w14:paraId="7768FC08" w14:textId="08DB2337"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85" w:history="1">
            <w:r w:rsidR="00B411B4" w:rsidRPr="00F91FE9">
              <w:rPr>
                <w:rStyle w:val="Hperlink"/>
                <w:noProof/>
              </w:rPr>
              <w:t>Kasutatud allikad</w:t>
            </w:r>
            <w:r w:rsidR="00B411B4">
              <w:rPr>
                <w:noProof/>
                <w:webHidden/>
              </w:rPr>
              <w:tab/>
            </w:r>
            <w:r w:rsidR="00B411B4">
              <w:rPr>
                <w:noProof/>
                <w:webHidden/>
              </w:rPr>
              <w:fldChar w:fldCharType="begin"/>
            </w:r>
            <w:r w:rsidR="00B411B4">
              <w:rPr>
                <w:noProof/>
                <w:webHidden/>
              </w:rPr>
              <w:instrText xml:space="preserve"> PAGEREF _Toc157420985 \h </w:instrText>
            </w:r>
            <w:r w:rsidR="00B411B4">
              <w:rPr>
                <w:noProof/>
                <w:webHidden/>
              </w:rPr>
            </w:r>
            <w:r w:rsidR="00B411B4">
              <w:rPr>
                <w:noProof/>
                <w:webHidden/>
              </w:rPr>
              <w:fldChar w:fldCharType="separate"/>
            </w:r>
            <w:r w:rsidR="009D53B4">
              <w:rPr>
                <w:noProof/>
                <w:webHidden/>
              </w:rPr>
              <w:t>88</w:t>
            </w:r>
            <w:r w:rsidR="00B411B4">
              <w:rPr>
                <w:noProof/>
                <w:webHidden/>
              </w:rPr>
              <w:fldChar w:fldCharType="end"/>
            </w:r>
          </w:hyperlink>
        </w:p>
        <w:p w14:paraId="1199C674" w14:textId="6612316F"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86" w:history="1">
            <w:r w:rsidR="00B411B4" w:rsidRPr="00F91FE9">
              <w:rPr>
                <w:rStyle w:val="Hperlink"/>
                <w:noProof/>
              </w:rPr>
              <w:t>LISA 1. Kalanduspiirkonna kohaliku arengu strateegia 2021–2027 + koostamise tegevuskava</w:t>
            </w:r>
            <w:r w:rsidR="00B411B4">
              <w:rPr>
                <w:noProof/>
                <w:webHidden/>
              </w:rPr>
              <w:tab/>
            </w:r>
            <w:r w:rsidR="00B411B4">
              <w:rPr>
                <w:noProof/>
                <w:webHidden/>
              </w:rPr>
              <w:fldChar w:fldCharType="begin"/>
            </w:r>
            <w:r w:rsidR="00B411B4">
              <w:rPr>
                <w:noProof/>
                <w:webHidden/>
              </w:rPr>
              <w:instrText xml:space="preserve"> PAGEREF _Toc157420986 \h </w:instrText>
            </w:r>
            <w:r w:rsidR="00B411B4">
              <w:rPr>
                <w:noProof/>
                <w:webHidden/>
              </w:rPr>
            </w:r>
            <w:r w:rsidR="00B411B4">
              <w:rPr>
                <w:noProof/>
                <w:webHidden/>
              </w:rPr>
              <w:fldChar w:fldCharType="separate"/>
            </w:r>
            <w:r w:rsidR="009D53B4">
              <w:rPr>
                <w:noProof/>
                <w:webHidden/>
              </w:rPr>
              <w:t>91</w:t>
            </w:r>
            <w:r w:rsidR="00B411B4">
              <w:rPr>
                <w:noProof/>
                <w:webHidden/>
              </w:rPr>
              <w:fldChar w:fldCharType="end"/>
            </w:r>
          </w:hyperlink>
        </w:p>
        <w:p w14:paraId="535F1A3E" w14:textId="7A77F5F5"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87" w:history="1">
            <w:r w:rsidR="00B411B4" w:rsidRPr="00F91FE9">
              <w:rPr>
                <w:rStyle w:val="Hperlink"/>
                <w:noProof/>
              </w:rPr>
              <w:t>LISA 2. Strateegia koostamises osalenud organisatsioonid</w:t>
            </w:r>
            <w:r w:rsidR="00B411B4">
              <w:rPr>
                <w:noProof/>
                <w:webHidden/>
              </w:rPr>
              <w:tab/>
            </w:r>
            <w:r w:rsidR="00B411B4">
              <w:rPr>
                <w:noProof/>
                <w:webHidden/>
              </w:rPr>
              <w:fldChar w:fldCharType="begin"/>
            </w:r>
            <w:r w:rsidR="00B411B4">
              <w:rPr>
                <w:noProof/>
                <w:webHidden/>
              </w:rPr>
              <w:instrText xml:space="preserve"> PAGEREF _Toc157420987 \h </w:instrText>
            </w:r>
            <w:r w:rsidR="00B411B4">
              <w:rPr>
                <w:noProof/>
                <w:webHidden/>
              </w:rPr>
            </w:r>
            <w:r w:rsidR="00B411B4">
              <w:rPr>
                <w:noProof/>
                <w:webHidden/>
              </w:rPr>
              <w:fldChar w:fldCharType="separate"/>
            </w:r>
            <w:r w:rsidR="009D53B4">
              <w:rPr>
                <w:noProof/>
                <w:webHidden/>
              </w:rPr>
              <w:t>95</w:t>
            </w:r>
            <w:r w:rsidR="00B411B4">
              <w:rPr>
                <w:noProof/>
                <w:webHidden/>
              </w:rPr>
              <w:fldChar w:fldCharType="end"/>
            </w:r>
          </w:hyperlink>
        </w:p>
        <w:p w14:paraId="027EAF05" w14:textId="5D4AFE6F"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88" w:history="1">
            <w:r w:rsidR="00B411B4" w:rsidRPr="00F91FE9">
              <w:rPr>
                <w:rStyle w:val="Hperlink"/>
                <w:noProof/>
              </w:rPr>
              <w:t>LISA 3. Strateegia koostamise käigus läbi viidud küsitlused</w:t>
            </w:r>
            <w:r w:rsidR="00B411B4">
              <w:rPr>
                <w:noProof/>
                <w:webHidden/>
              </w:rPr>
              <w:tab/>
            </w:r>
            <w:r w:rsidR="00B411B4">
              <w:rPr>
                <w:noProof/>
                <w:webHidden/>
              </w:rPr>
              <w:fldChar w:fldCharType="begin"/>
            </w:r>
            <w:r w:rsidR="00B411B4">
              <w:rPr>
                <w:noProof/>
                <w:webHidden/>
              </w:rPr>
              <w:instrText xml:space="preserve"> PAGEREF _Toc157420988 \h </w:instrText>
            </w:r>
            <w:r w:rsidR="00B411B4">
              <w:rPr>
                <w:noProof/>
                <w:webHidden/>
              </w:rPr>
            </w:r>
            <w:r w:rsidR="00B411B4">
              <w:rPr>
                <w:noProof/>
                <w:webHidden/>
              </w:rPr>
              <w:fldChar w:fldCharType="separate"/>
            </w:r>
            <w:r w:rsidR="009D53B4">
              <w:rPr>
                <w:noProof/>
                <w:webHidden/>
              </w:rPr>
              <w:t>98</w:t>
            </w:r>
            <w:r w:rsidR="00B411B4">
              <w:rPr>
                <w:noProof/>
                <w:webHidden/>
              </w:rPr>
              <w:fldChar w:fldCharType="end"/>
            </w:r>
          </w:hyperlink>
        </w:p>
        <w:p w14:paraId="510CF4E8" w14:textId="7810CEF7"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89" w:history="1">
            <w:r w:rsidR="00B411B4" w:rsidRPr="00F91FE9">
              <w:rPr>
                <w:rStyle w:val="Hperlink"/>
                <w:noProof/>
              </w:rPr>
              <w:t>LISA 4. Strateegia sadamate nimistu</w:t>
            </w:r>
            <w:r w:rsidR="00B411B4">
              <w:rPr>
                <w:noProof/>
                <w:webHidden/>
              </w:rPr>
              <w:tab/>
            </w:r>
            <w:r w:rsidR="00B411B4">
              <w:rPr>
                <w:noProof/>
                <w:webHidden/>
              </w:rPr>
              <w:fldChar w:fldCharType="begin"/>
            </w:r>
            <w:r w:rsidR="00B411B4">
              <w:rPr>
                <w:noProof/>
                <w:webHidden/>
              </w:rPr>
              <w:instrText xml:space="preserve"> PAGEREF _Toc157420989 \h </w:instrText>
            </w:r>
            <w:r w:rsidR="00B411B4">
              <w:rPr>
                <w:noProof/>
                <w:webHidden/>
              </w:rPr>
            </w:r>
            <w:r w:rsidR="00B411B4">
              <w:rPr>
                <w:noProof/>
                <w:webHidden/>
              </w:rPr>
              <w:fldChar w:fldCharType="separate"/>
            </w:r>
            <w:r w:rsidR="009D53B4">
              <w:rPr>
                <w:noProof/>
                <w:webHidden/>
              </w:rPr>
              <w:t>100</w:t>
            </w:r>
            <w:r w:rsidR="00B411B4">
              <w:rPr>
                <w:noProof/>
                <w:webHidden/>
              </w:rPr>
              <w:fldChar w:fldCharType="end"/>
            </w:r>
          </w:hyperlink>
        </w:p>
        <w:p w14:paraId="791C5AEC" w14:textId="46E7A53A"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90" w:history="1">
            <w:r w:rsidR="00B411B4" w:rsidRPr="00F91FE9">
              <w:rPr>
                <w:rStyle w:val="Hperlink"/>
                <w:noProof/>
              </w:rPr>
              <w:t>LISA 5.  Saaremaa kalanduspiirkonna lossimiskogused (kg) lossimiskohtade lõikes 2016-2022</w:t>
            </w:r>
            <w:r w:rsidR="00B411B4">
              <w:rPr>
                <w:noProof/>
                <w:webHidden/>
              </w:rPr>
              <w:tab/>
            </w:r>
            <w:r w:rsidR="00B411B4">
              <w:rPr>
                <w:noProof/>
                <w:webHidden/>
              </w:rPr>
              <w:fldChar w:fldCharType="begin"/>
            </w:r>
            <w:r w:rsidR="00B411B4">
              <w:rPr>
                <w:noProof/>
                <w:webHidden/>
              </w:rPr>
              <w:instrText xml:space="preserve"> PAGEREF _Toc157420990 \h </w:instrText>
            </w:r>
            <w:r w:rsidR="00B411B4">
              <w:rPr>
                <w:noProof/>
                <w:webHidden/>
              </w:rPr>
            </w:r>
            <w:r w:rsidR="00B411B4">
              <w:rPr>
                <w:noProof/>
                <w:webHidden/>
              </w:rPr>
              <w:fldChar w:fldCharType="separate"/>
            </w:r>
            <w:r w:rsidR="009D53B4">
              <w:rPr>
                <w:noProof/>
                <w:webHidden/>
              </w:rPr>
              <w:t>108</w:t>
            </w:r>
            <w:r w:rsidR="00B411B4">
              <w:rPr>
                <w:noProof/>
                <w:webHidden/>
              </w:rPr>
              <w:fldChar w:fldCharType="end"/>
            </w:r>
          </w:hyperlink>
        </w:p>
        <w:p w14:paraId="4FD8FD21" w14:textId="6E1123C2"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91" w:history="1">
            <w:r w:rsidR="00B411B4" w:rsidRPr="00F91FE9">
              <w:rPr>
                <w:rStyle w:val="Hperlink"/>
                <w:noProof/>
              </w:rPr>
              <w:t>LISA 6. Saaremaa kalanduspiirkonna lossimised piirkonniti graafikutena 2016-2022</w:t>
            </w:r>
            <w:r w:rsidR="00B411B4">
              <w:rPr>
                <w:noProof/>
                <w:webHidden/>
              </w:rPr>
              <w:tab/>
            </w:r>
            <w:r w:rsidR="00B411B4">
              <w:rPr>
                <w:noProof/>
                <w:webHidden/>
              </w:rPr>
              <w:fldChar w:fldCharType="begin"/>
            </w:r>
            <w:r w:rsidR="00B411B4">
              <w:rPr>
                <w:noProof/>
                <w:webHidden/>
              </w:rPr>
              <w:instrText xml:space="preserve"> PAGEREF _Toc157420991 \h </w:instrText>
            </w:r>
            <w:r w:rsidR="00B411B4">
              <w:rPr>
                <w:noProof/>
                <w:webHidden/>
              </w:rPr>
            </w:r>
            <w:r w:rsidR="00B411B4">
              <w:rPr>
                <w:noProof/>
                <w:webHidden/>
              </w:rPr>
              <w:fldChar w:fldCharType="separate"/>
            </w:r>
            <w:r w:rsidR="009D53B4">
              <w:rPr>
                <w:noProof/>
                <w:webHidden/>
              </w:rPr>
              <w:t>114</w:t>
            </w:r>
            <w:r w:rsidR="00B411B4">
              <w:rPr>
                <w:noProof/>
                <w:webHidden/>
              </w:rPr>
              <w:fldChar w:fldCharType="end"/>
            </w:r>
          </w:hyperlink>
        </w:p>
        <w:p w14:paraId="5273BC52" w14:textId="635378D4" w:rsidR="00B411B4" w:rsidRDefault="00000000">
          <w:pPr>
            <w:pStyle w:val="SK1"/>
            <w:rPr>
              <w:rFonts w:asciiTheme="minorHAnsi" w:eastAsiaTheme="minorEastAsia" w:hAnsiTheme="minorHAnsi" w:cstheme="minorBidi"/>
              <w:b w:val="0"/>
              <w:bCs w:val="0"/>
              <w:noProof/>
              <w:kern w:val="2"/>
              <w:sz w:val="22"/>
              <w:szCs w:val="22"/>
              <w14:ligatures w14:val="standardContextual"/>
            </w:rPr>
          </w:pPr>
          <w:hyperlink w:anchor="_Toc157420992" w:history="1">
            <w:r w:rsidR="00B411B4" w:rsidRPr="00F91FE9">
              <w:rPr>
                <w:rStyle w:val="Hperlink"/>
                <w:noProof/>
              </w:rPr>
              <w:t>LISA 7. Hinnang EMKF perioodi 2016 - 2020 + tegevussuundade eesmärkide saavutamisele</w:t>
            </w:r>
            <w:r w:rsidR="00B411B4">
              <w:rPr>
                <w:noProof/>
                <w:webHidden/>
              </w:rPr>
              <w:tab/>
            </w:r>
            <w:r w:rsidR="00B411B4">
              <w:rPr>
                <w:noProof/>
                <w:webHidden/>
              </w:rPr>
              <w:fldChar w:fldCharType="begin"/>
            </w:r>
            <w:r w:rsidR="00B411B4">
              <w:rPr>
                <w:noProof/>
                <w:webHidden/>
              </w:rPr>
              <w:instrText xml:space="preserve"> PAGEREF _Toc157420992 \h </w:instrText>
            </w:r>
            <w:r w:rsidR="00B411B4">
              <w:rPr>
                <w:noProof/>
                <w:webHidden/>
              </w:rPr>
            </w:r>
            <w:r w:rsidR="00B411B4">
              <w:rPr>
                <w:noProof/>
                <w:webHidden/>
              </w:rPr>
              <w:fldChar w:fldCharType="separate"/>
            </w:r>
            <w:r w:rsidR="009D53B4">
              <w:rPr>
                <w:noProof/>
                <w:webHidden/>
              </w:rPr>
              <w:t>120</w:t>
            </w:r>
            <w:r w:rsidR="00B411B4">
              <w:rPr>
                <w:noProof/>
                <w:webHidden/>
              </w:rPr>
              <w:fldChar w:fldCharType="end"/>
            </w:r>
          </w:hyperlink>
        </w:p>
        <w:p w14:paraId="31DE9EBC" w14:textId="3D0C6DC1" w:rsidR="008312AA" w:rsidRDefault="00000000">
          <w:r>
            <w:fldChar w:fldCharType="end"/>
          </w:r>
        </w:p>
      </w:sdtContent>
    </w:sdt>
    <w:p w14:paraId="447C6624" w14:textId="77777777" w:rsidR="008312AA" w:rsidRDefault="00000000">
      <w:pPr>
        <w:spacing w:after="160" w:line="259" w:lineRule="auto"/>
        <w:rPr>
          <w:rFonts w:ascii="Times New Roman" w:hAnsi="Times New Roman" w:cs="Times New Roman"/>
          <w:color w:val="1186C2"/>
          <w:sz w:val="32"/>
          <w:szCs w:val="32"/>
        </w:rPr>
      </w:pPr>
      <w:r>
        <w:br w:type="page"/>
      </w:r>
    </w:p>
    <w:p w14:paraId="736756BB" w14:textId="77777777" w:rsidR="008312AA" w:rsidRDefault="00000000" w:rsidP="00541032">
      <w:pPr>
        <w:pStyle w:val="Pealkiri1"/>
        <w:spacing w:before="0"/>
        <w:ind w:left="0" w:firstLine="0"/>
        <w:jc w:val="left"/>
        <w:rPr>
          <w:rFonts w:ascii="Times New Roman" w:hAnsi="Times New Roman" w:cs="Times New Roman"/>
        </w:rPr>
      </w:pPr>
      <w:bookmarkStart w:id="0" w:name="_Toc157420923"/>
      <w:r>
        <w:rPr>
          <w:rFonts w:ascii="Times New Roman" w:hAnsi="Times New Roman" w:cs="Times New Roman"/>
        </w:rPr>
        <w:lastRenderedPageBreak/>
        <w:t>Sissejuhatus</w:t>
      </w:r>
      <w:bookmarkEnd w:id="0"/>
    </w:p>
    <w:p w14:paraId="5E77341A" w14:textId="77777777" w:rsidR="008312AA" w:rsidRDefault="008312AA"/>
    <w:p w14:paraId="1E16A02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kalanduspiirkonna käesolev strateegia on koostatud aastani 2027 (eelarvevahendite olemasolul ja/või lisandumisel aastani 2030). </w:t>
      </w:r>
    </w:p>
    <w:p w14:paraId="650A3E9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koostamisel on olnud abiks erinevatelt huvigruppidelt ja sihtrühmadelt saadud ettepanekud ning sisendid. MTÜ Saarte Kalandus töörühm (juhatus, tegevmeeskond) töötas välja strateegilised valikud ja püstitas eesmärgid, mille abil on võimalik tagada Saaremaa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jätkusuutlik</w:t>
      </w:r>
      <w:proofErr w:type="spellEnd"/>
      <w:r>
        <w:rPr>
          <w:rFonts w:ascii="Times New Roman" w:eastAsia="Times New Roman" w:hAnsi="Times New Roman" w:cs="Times New Roman"/>
        </w:rPr>
        <w:t xml:space="preserve"> areng ning lõimida kalandus paremini teiste Saare maakonna ettevõtlusharudega.</w:t>
      </w:r>
    </w:p>
    <w:p w14:paraId="551146C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Perioodil 2021–2027 toetab Euroopa Liidu ühise kalanduspoliitika ja integreeritud merenduspoliitika rakendamist Euroopa Merendus-, Kalandus- ja Vesiviljelusfond (EMKVF 2021–2027). EMKVF 2021 – 2027 peamised eesmärgid on:</w:t>
      </w:r>
    </w:p>
    <w:p w14:paraId="12D54B83" w14:textId="77777777" w:rsidR="008312AA" w:rsidRDefault="00000000" w:rsidP="00541032">
      <w:pPr>
        <w:pStyle w:val="Loendilik"/>
        <w:numPr>
          <w:ilvl w:val="0"/>
          <w:numId w:val="22"/>
        </w:numPr>
        <w:shd w:val="clear" w:color="auto" w:fill="FFFFFF"/>
        <w:spacing w:beforeAutospacing="1" w:after="0" w:line="276" w:lineRule="auto"/>
        <w:rPr>
          <w:rFonts w:ascii="Times New Roman" w:eastAsia="Times New Roman" w:hAnsi="Times New Roman" w:cs="Times New Roman"/>
        </w:rPr>
      </w:pPr>
      <w:r>
        <w:rPr>
          <w:rFonts w:ascii="Times New Roman" w:eastAsia="Times New Roman" w:hAnsi="Times New Roman" w:cs="Times New Roman"/>
        </w:rPr>
        <w:t>Soodustada kestlikku kalandust ja mere bioloogiliste ressursside kaitset.</w:t>
      </w:r>
    </w:p>
    <w:p w14:paraId="1BBEA6CD" w14:textId="77777777" w:rsidR="008312AA" w:rsidRDefault="00000000" w:rsidP="00541032">
      <w:pPr>
        <w:pStyle w:val="Loendilik"/>
        <w:numPr>
          <w:ilvl w:val="0"/>
          <w:numId w:val="22"/>
        </w:num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Aidata kaasa toiduga kindlustatuse tagamisele Euroopa Liidus läbi konkurentsivõimelise ja kestliku vesiviljeluse ja turgude.</w:t>
      </w:r>
    </w:p>
    <w:p w14:paraId="7C11C183" w14:textId="77777777" w:rsidR="008312AA" w:rsidRDefault="00000000" w:rsidP="00541032">
      <w:pPr>
        <w:pStyle w:val="Loendilik"/>
        <w:numPr>
          <w:ilvl w:val="0"/>
          <w:numId w:val="22"/>
        </w:num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Võimaldada sinise majanduse kestlikku kasvu ning aidata saavutada rannapiirkondade jõukust.</w:t>
      </w:r>
    </w:p>
    <w:p w14:paraId="5039C3E3" w14:textId="77777777" w:rsidR="008312AA" w:rsidRDefault="00000000" w:rsidP="00541032">
      <w:pPr>
        <w:pStyle w:val="Loendilik"/>
        <w:numPr>
          <w:ilvl w:val="0"/>
          <w:numId w:val="22"/>
        </w:numPr>
        <w:shd w:val="clear" w:color="auto" w:fill="FFFFFF"/>
        <w:spacing w:beforeAutospacing="1" w:afterAutospacing="1" w:line="276" w:lineRule="auto"/>
        <w:rPr>
          <w:rFonts w:ascii="Times New Roman" w:eastAsia="Times New Roman" w:hAnsi="Times New Roman" w:cs="Times New Roman"/>
        </w:rPr>
      </w:pPr>
      <w:r>
        <w:rPr>
          <w:rFonts w:ascii="Times New Roman" w:eastAsia="Times New Roman" w:hAnsi="Times New Roman" w:cs="Times New Roman"/>
        </w:rPr>
        <w:t>Tugevdada ookeanide rahvusvahelist majandamist ning tagada merede ja ookeanide turvalisust, ohutust, puhtust ja kestlikku majandamist.</w:t>
      </w:r>
      <w:r>
        <w:rPr>
          <w:rStyle w:val="Allmrkuseviide"/>
          <w:rFonts w:ascii="Times New Roman" w:eastAsia="Times New Roman" w:hAnsi="Times New Roman" w:cs="Times New Roman"/>
        </w:rPr>
        <w:footnoteReference w:id="1"/>
      </w:r>
    </w:p>
    <w:p w14:paraId="531CBAB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Rakenduskava eesmärk on viia ellu Euroopa Merendus-, Kalandus- ja Vesiviljelusfondi raames meetmeid ja tegevusi, mis toetavad Eesti kalandus- ja vesiviljelussektori peamiste eesmärkide saavutamist Euroopa Liidu ühise kalanduspoliitika rakendamisel. Kava elluviimisega aidatakse kaasa Euroopa rohelise kokkuleppe, Euroopa Liidu strateegiate „Talust taldrikule“ ja „Euroopa Liidu elurikkuse strateegia aastani 2030“ ning riikliku „Põllumajanduse ja kalanduse valdkonna arengukava aastani 2030“ (</w:t>
      </w:r>
      <w:proofErr w:type="spellStart"/>
      <w:r>
        <w:rPr>
          <w:rFonts w:ascii="Times New Roman" w:eastAsia="Times New Roman" w:hAnsi="Times New Roman" w:cs="Times New Roman"/>
        </w:rPr>
        <w:t>PõKa</w:t>
      </w:r>
      <w:proofErr w:type="spellEnd"/>
      <w:r>
        <w:rPr>
          <w:rFonts w:ascii="Times New Roman" w:eastAsia="Times New Roman" w:hAnsi="Times New Roman" w:cs="Times New Roman"/>
        </w:rPr>
        <w:t xml:space="preserve"> 2030) eesmärkide täitmisele.</w:t>
      </w:r>
    </w:p>
    <w:p w14:paraId="103339B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 strateegiaga toetatavad tegevused annavad oma panuse nende eesmärkide täitmisesse.</w:t>
      </w:r>
    </w:p>
    <w:p w14:paraId="1839453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alusandmete ja sisendite kogumine ning analüüsimine ning strateegia koostamine toimus perioodil mai 2021 kuni detsember 2023. Jaanuaris ja veebruaris 2024 toimus strateegia lõplik redigeerimine </w:t>
      </w:r>
      <w:proofErr w:type="spellStart"/>
      <w:r>
        <w:rPr>
          <w:rFonts w:ascii="Times New Roman" w:eastAsia="Times New Roman" w:hAnsi="Times New Roman" w:cs="Times New Roman"/>
        </w:rPr>
        <w:t>Cumulus</w:t>
      </w:r>
      <w:proofErr w:type="spellEnd"/>
      <w:r>
        <w:rPr>
          <w:rFonts w:ascii="Times New Roman" w:eastAsia="Times New Roman" w:hAnsi="Times New Roman" w:cs="Times New Roman"/>
        </w:rPr>
        <w:t xml:space="preserve"> Consulting OÜ poolt, strateegia lõppversiooni avalik väljapanek ühingu kodulehele ja strateegia kinnitamine üldkoosolekul.</w:t>
      </w:r>
    </w:p>
    <w:p w14:paraId="682244B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koostamise ajendiks on olnud EMKVF meetme määrus “Perioodi 2021–2027 kogukonna juhitud kohaliku arengu toetus,” mille rahalisel toel on võimalik püstitatud eesmärke ellu viia.</w:t>
      </w:r>
    </w:p>
    <w:p w14:paraId="05B347F3" w14:textId="272FE50E"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alusandmete ja sisendite saamisel ning kogumisel osales läbi avalike kaasamiskoosolekute ja töörühma koosolekute kokku 123 eraisikut ja organisatsiooni esindajat, kelles</w:t>
      </w:r>
      <w:r w:rsidR="006B6C8A">
        <w:rPr>
          <w:rFonts w:ascii="Times New Roman" w:eastAsia="Times New Roman" w:hAnsi="Times New Roman" w:cs="Times New Roman"/>
        </w:rPr>
        <w:t>t</w:t>
      </w:r>
      <w:r>
        <w:rPr>
          <w:rFonts w:ascii="Times New Roman" w:eastAsia="Times New Roman" w:hAnsi="Times New Roman" w:cs="Times New Roman"/>
        </w:rPr>
        <w:t xml:space="preserve"> 57 (46%) olid kalandussektori esindajad. Täpsemalt kajastab kaasamiskoosolekutel </w:t>
      </w:r>
      <w:r>
        <w:rPr>
          <w:rFonts w:ascii="Times New Roman" w:eastAsia="Times New Roman" w:hAnsi="Times New Roman" w:cs="Times New Roman"/>
        </w:rPr>
        <w:lastRenderedPageBreak/>
        <w:t>osalenud organisatsioone strateegia lisa nr 2 „</w:t>
      </w:r>
      <w:r>
        <w:rPr>
          <w:rFonts w:ascii="Times New Roman" w:hAnsi="Times New Roman" w:cs="Times New Roman"/>
        </w:rPr>
        <w:t>Strateegia koostamises osalenud organisatsioonid.“</w:t>
      </w:r>
    </w:p>
    <w:p w14:paraId="49DBE77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teksti kirjutasid kokku MTÜ Saarte Kalandus tegevjuht Heino Vipp ja referent Hille </w:t>
      </w:r>
      <w:proofErr w:type="spellStart"/>
      <w:r>
        <w:rPr>
          <w:rFonts w:ascii="Times New Roman" w:eastAsia="Times New Roman" w:hAnsi="Times New Roman" w:cs="Times New Roman"/>
        </w:rPr>
        <w:t>Tänak-Helde</w:t>
      </w:r>
      <w:proofErr w:type="spellEnd"/>
      <w:r>
        <w:rPr>
          <w:rFonts w:ascii="Times New Roman" w:eastAsia="Times New Roman" w:hAnsi="Times New Roman" w:cs="Times New Roman"/>
        </w:rPr>
        <w:t>.</w:t>
      </w:r>
    </w:p>
    <w:p w14:paraId="144C27F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koostamise töörühm tänab kõiki, kes andsid oma panuse strateegia valmimisse.  </w:t>
      </w:r>
    </w:p>
    <w:p w14:paraId="48A6C144" w14:textId="77777777" w:rsidR="008312AA" w:rsidRDefault="008312AA">
      <w:pPr>
        <w:spacing w:line="276" w:lineRule="auto"/>
        <w:rPr>
          <w:rFonts w:ascii="Times New Roman" w:eastAsia="Times New Roman" w:hAnsi="Times New Roman" w:cs="Times New Roman"/>
        </w:rPr>
      </w:pPr>
    </w:p>
    <w:p w14:paraId="40513BEC" w14:textId="77777777" w:rsidR="008312AA" w:rsidRDefault="00000000">
      <w:pPr>
        <w:spacing w:after="160" w:line="259" w:lineRule="auto"/>
        <w:jc w:val="left"/>
        <w:rPr>
          <w:rFonts w:ascii="Times New Roman" w:eastAsia="Times New Roman" w:hAnsi="Times New Roman" w:cs="Times New Roman"/>
        </w:rPr>
      </w:pPr>
      <w:r>
        <w:br w:type="page"/>
      </w:r>
    </w:p>
    <w:p w14:paraId="0774ADFF" w14:textId="77777777" w:rsidR="008312AA" w:rsidRDefault="00000000" w:rsidP="00541032">
      <w:pPr>
        <w:pStyle w:val="Pealkiri1"/>
        <w:spacing w:before="0" w:line="276" w:lineRule="auto"/>
        <w:ind w:left="0" w:firstLine="0"/>
        <w:jc w:val="left"/>
        <w:rPr>
          <w:rFonts w:ascii="Times New Roman" w:hAnsi="Times New Roman" w:cs="Times New Roman"/>
          <w:color w:val="0070C0"/>
        </w:rPr>
      </w:pPr>
      <w:bookmarkStart w:id="1" w:name="_heading=h.a0r34ruo23d"/>
      <w:bookmarkStart w:id="2" w:name="_Toc157420924"/>
      <w:bookmarkEnd w:id="1"/>
      <w:r>
        <w:rPr>
          <w:rFonts w:ascii="Times New Roman" w:hAnsi="Times New Roman" w:cs="Times New Roman"/>
          <w:color w:val="0070C0"/>
        </w:rPr>
        <w:lastRenderedPageBreak/>
        <w:t>Saaremaa kalanduspiirkonna strateegia 2021- 2027+ kokkuvõte</w:t>
      </w:r>
      <w:bookmarkEnd w:id="2"/>
    </w:p>
    <w:p w14:paraId="2243BA46" w14:textId="77777777" w:rsidR="008312AA" w:rsidRDefault="008312AA">
      <w:pPr>
        <w:spacing w:line="276" w:lineRule="auto"/>
        <w:rPr>
          <w:rFonts w:ascii="Times New Roman" w:hAnsi="Times New Roman" w:cs="Times New Roman"/>
        </w:rPr>
      </w:pPr>
    </w:p>
    <w:p w14:paraId="1B4DD07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Saarte Kalandus tegutsemise aluseks on MTÜ põhikiri, mille alusel organisatsiooni eesmärgiks on oma liikmete koostööle, partnerlusele ja omaalgatusele tuginedes kalanduspiirkonna </w:t>
      </w:r>
      <w:proofErr w:type="spellStart"/>
      <w:r>
        <w:rPr>
          <w:rFonts w:ascii="Times New Roman" w:eastAsia="Times New Roman" w:hAnsi="Times New Roman" w:cs="Times New Roman"/>
        </w:rPr>
        <w:t>jätkusuutlik</w:t>
      </w:r>
      <w:proofErr w:type="spellEnd"/>
      <w:r>
        <w:rPr>
          <w:rFonts w:ascii="Times New Roman" w:eastAsia="Times New Roman" w:hAnsi="Times New Roman" w:cs="Times New Roman"/>
        </w:rPr>
        <w:t xml:space="preserve"> arendamine, kalanduse ja sellega seotud tegevusalade arendamise ning rannakülade elujõu kindlustamise strateegia väljatöötamise ja elluviimise kaudu.</w:t>
      </w:r>
    </w:p>
    <w:p w14:paraId="1343588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maakond hõlmab Saaremaa ja Muhu saart koos neid ümbritsevate väikesaartega ning Ruhnu saart Liivi lahes. Maakonna pindala on 2922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ehk 6,7 % Eesti pindalast. Saare maakonna kalanduspiirkond ühtib oma piiridelt Saare maakonna piiridega Peamised püügipiirkonnad on Liivi laht (püügiruut 28-1), Läänemere keskosa (püügiruudud 28-2 ja 29) ning siseveekogudest Nasva jõgi ning Mullutu laht.</w:t>
      </w:r>
    </w:p>
    <w:p w14:paraId="19A8BB3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rannikumeri on madal meri, mille sügavus jääb 10-25 m piiridesse. Viimane Eesti mereala keskkonnaseisundi uuring viidi läbi 2018/2019. a. Merekeskkonnas on eristatavad kaks üldist elupaika: </w:t>
      </w:r>
      <w:proofErr w:type="spellStart"/>
      <w:r>
        <w:rPr>
          <w:rFonts w:ascii="Times New Roman" w:eastAsia="Times New Roman" w:hAnsi="Times New Roman" w:cs="Times New Roman"/>
        </w:rPr>
        <w:t>pelaagilised</w:t>
      </w:r>
      <w:proofErr w:type="spellEnd"/>
      <w:r>
        <w:rPr>
          <w:rFonts w:ascii="Times New Roman" w:eastAsia="Times New Roman" w:hAnsi="Times New Roman" w:cs="Times New Roman"/>
        </w:rPr>
        <w:t xml:space="preserve"> (veesamba) elupaigad ja </w:t>
      </w:r>
      <w:proofErr w:type="spellStart"/>
      <w:r>
        <w:rPr>
          <w:rFonts w:ascii="Times New Roman" w:eastAsia="Times New Roman" w:hAnsi="Times New Roman" w:cs="Times New Roman"/>
        </w:rPr>
        <w:t>bentilised</w:t>
      </w:r>
      <w:proofErr w:type="spellEnd"/>
      <w:r>
        <w:rPr>
          <w:rFonts w:ascii="Times New Roman" w:eastAsia="Times New Roman" w:hAnsi="Times New Roman" w:cs="Times New Roman"/>
        </w:rPr>
        <w:t xml:space="preserve"> (merepõhja) elupaigad. Uuringus välja toodud hinnang Eesti mereala </w:t>
      </w:r>
      <w:proofErr w:type="spellStart"/>
      <w:r>
        <w:rPr>
          <w:rFonts w:ascii="Times New Roman" w:eastAsia="Times New Roman" w:hAnsi="Times New Roman" w:cs="Times New Roman"/>
        </w:rPr>
        <w:t>pelaagilistele</w:t>
      </w:r>
      <w:proofErr w:type="spellEnd"/>
      <w:r>
        <w:rPr>
          <w:rFonts w:ascii="Times New Roman" w:eastAsia="Times New Roman" w:hAnsi="Times New Roman" w:cs="Times New Roman"/>
        </w:rPr>
        <w:t xml:space="preserve"> elupaikadele on valdavalt ebasoodne, heas seisus on vaid osa Saare- ja Hiiumaa lääne- ning põhjarannikuga piirnevast rannikumerest ja väike osa Soome lahe idapoolsest rannikumerest.</w:t>
      </w:r>
      <w:r>
        <w:rPr>
          <w:rStyle w:val="Allmrkuseviide"/>
          <w:rFonts w:ascii="Times New Roman" w:eastAsia="Times New Roman" w:hAnsi="Times New Roman" w:cs="Times New Roman"/>
        </w:rPr>
        <w:footnoteReference w:id="2"/>
      </w:r>
    </w:p>
    <w:p w14:paraId="7923FED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Ligi viiendik Saare maakonna maismaa territooriumist on kaitse all. </w:t>
      </w:r>
      <w:proofErr w:type="spellStart"/>
      <w:r>
        <w:rPr>
          <w:rFonts w:ascii="Times New Roman" w:eastAsia="Times New Roman" w:hAnsi="Times New Roman" w:cs="Times New Roman"/>
        </w:rPr>
        <w:t>Kalakaitselised</w:t>
      </w:r>
      <w:proofErr w:type="spellEnd"/>
      <w:r>
        <w:rPr>
          <w:rFonts w:ascii="Times New Roman" w:eastAsia="Times New Roman" w:hAnsi="Times New Roman" w:cs="Times New Roman"/>
        </w:rPr>
        <w:t xml:space="preserve"> piirangud on kahel looduskaitsealal, milleks on Vilsandi Rahvuspark ja Laidevahe looduskaitseala. Vilsandi Rahvuspargi veealal on keelatud sügisene siiapüük, mis andis kaluritele olulist palgalisa. Laidevahe looduskaitseala on oluline ahvena, haugi ja särjepüügi </w:t>
      </w:r>
      <w:proofErr w:type="spellStart"/>
      <w:r>
        <w:rPr>
          <w:rFonts w:ascii="Times New Roman" w:eastAsia="Times New Roman" w:hAnsi="Times New Roman" w:cs="Times New Roman"/>
        </w:rPr>
        <w:t>veeala</w:t>
      </w:r>
      <w:proofErr w:type="spellEnd"/>
      <w:r>
        <w:rPr>
          <w:rFonts w:ascii="Times New Roman" w:eastAsia="Times New Roman" w:hAnsi="Times New Roman" w:cs="Times New Roman"/>
        </w:rPr>
        <w:t xml:space="preserve"> just </w:t>
      </w:r>
      <w:proofErr w:type="spellStart"/>
      <w:r>
        <w:rPr>
          <w:rFonts w:ascii="Times New Roman" w:eastAsia="Times New Roman" w:hAnsi="Times New Roman" w:cs="Times New Roman"/>
        </w:rPr>
        <w:t>kesksuvisel</w:t>
      </w:r>
      <w:proofErr w:type="spellEnd"/>
      <w:r>
        <w:rPr>
          <w:rFonts w:ascii="Times New Roman" w:eastAsia="Times New Roman" w:hAnsi="Times New Roman" w:cs="Times New Roman"/>
        </w:rPr>
        <w:t xml:space="preserve"> ajal.</w:t>
      </w:r>
    </w:p>
    <w:p w14:paraId="74F40BE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Halduslikult jaguneb maakond 3 vallaks – Saaremaa, Muhu ja Ruhnu. Saaremaa valla koosseisu kuulub ka Kuressaare linn. Saare maakonnas on 1 linn, 9 alevikku ja 492 küla.</w:t>
      </w:r>
    </w:p>
    <w:p w14:paraId="517913D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2023. a 1. jaanuari seisuga elas Saare maakonnas Statistikaameti  andmetel 31 919  elanikku (10,9 elanikku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kohta).</w:t>
      </w:r>
      <w:r>
        <w:rPr>
          <w:rStyle w:val="Allmrkuseviide"/>
          <w:rFonts w:ascii="Times New Roman" w:eastAsia="Times New Roman" w:hAnsi="Times New Roman" w:cs="Times New Roman"/>
        </w:rPr>
        <w:footnoteReference w:id="3"/>
      </w:r>
      <w:r>
        <w:rPr>
          <w:rFonts w:ascii="Times New Roman" w:eastAsia="Times New Roman" w:hAnsi="Times New Roman" w:cs="Times New Roman"/>
        </w:rPr>
        <w:t xml:space="preserve">  Loomulik iive on maakonnas jätkuvalt  negatiivne, rahvaarv kasvab valdavalt sisserändajate toel.</w:t>
      </w:r>
    </w:p>
    <w:p w14:paraId="2CFB6CE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Statistikaameti andmetel oli Saare maakonnas 2023. a 1. jaanuari seisuga 23 445 tööealist elanikku (vanuses 15 -74). 2023. a I kvartalis  oli Saare maakonna tööealisest elanikkonnast tööga hõivatud 11 255 inimest (4899 meest ja 6356 naist). Kalandussektoris töötab täistööajaga u 2,5% tööealisest maakonna elanikkonnast s.o. ligikaudu 580 inimest. </w:t>
      </w:r>
      <w:r>
        <w:rPr>
          <w:rStyle w:val="Allmrkuseviide"/>
          <w:rFonts w:ascii="Times New Roman" w:eastAsia="Times New Roman" w:hAnsi="Times New Roman" w:cs="Times New Roman"/>
        </w:rPr>
        <w:footnoteReference w:id="4"/>
      </w:r>
    </w:p>
    <w:p w14:paraId="448EE56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 ettevõtluskeskkonna ja selle arendamise võimaluste analüüsist nähtub, et Saare maakonna majandust veavad töötleva tööstuse sektorid nagu toiduainete tootmine (sh kalatöötlemisega tegelevad ettevõtted AS </w:t>
      </w:r>
      <w:proofErr w:type="spellStart"/>
      <w:r>
        <w:rPr>
          <w:rFonts w:ascii="Times New Roman" w:eastAsia="Times New Roman" w:hAnsi="Times New Roman" w:cs="Times New Roman"/>
        </w:rPr>
        <w:t>Läätsa</w:t>
      </w:r>
      <w:proofErr w:type="spellEnd"/>
      <w:r>
        <w:rPr>
          <w:rFonts w:ascii="Times New Roman" w:eastAsia="Times New Roman" w:hAnsi="Times New Roman" w:cs="Times New Roman"/>
        </w:rPr>
        <w:t xml:space="preserve"> Kalatööstus ja OÜ Saare Kala Tootmine), metallitoodete ja transpordivahendite tootmine, arvutite ja elektroonikaseadmete tootmine, </w:t>
      </w:r>
      <w:r>
        <w:rPr>
          <w:rFonts w:ascii="Times New Roman" w:eastAsia="Times New Roman" w:hAnsi="Times New Roman" w:cs="Times New Roman"/>
        </w:rPr>
        <w:lastRenderedPageBreak/>
        <w:t xml:space="preserve">kummi- ja plastitoodete tootmine. Lisaks tootmisele on tugevatel positsioonidel kaubandus, turism ja majutus, põllumajandus ja ehitussektor, kasvamas on ka puidutööstus ja metsamajanduse sektor. Samast analüüsist nähtub, et kalapüügi ja vesiviljeluse sektor on Saare maakonnas analoogselt põllumajandusele kaotanud viimasel kahel kümnendil suuresti oma olulisusest. Samas on see sektor siiski eraldi välja toodud, kuna selles valdkonnas nähakse pikas perspektiivis olulist kasvupotentsiaali.  Kalandusvaldkonna suurimateks tööandjateks on Osaühing Kaabeltau, Osaühing </w:t>
      </w:r>
      <w:proofErr w:type="spellStart"/>
      <w:r>
        <w:rPr>
          <w:rFonts w:ascii="Times New Roman" w:eastAsia="Times New Roman" w:hAnsi="Times New Roman" w:cs="Times New Roman"/>
        </w:rPr>
        <w:t>Monistico</w:t>
      </w:r>
      <w:proofErr w:type="spellEnd"/>
      <w:r>
        <w:rPr>
          <w:rFonts w:ascii="Times New Roman" w:eastAsia="Times New Roman" w:hAnsi="Times New Roman" w:cs="Times New Roman"/>
        </w:rPr>
        <w:t xml:space="preserve"> ning Aktsiaselts Saare Rand</w:t>
      </w:r>
      <w:r>
        <w:rPr>
          <w:rStyle w:val="Allmrkuseviide"/>
          <w:rFonts w:ascii="Times New Roman" w:eastAsia="Times New Roman" w:hAnsi="Times New Roman" w:cs="Times New Roman"/>
        </w:rPr>
        <w:footnoteReference w:id="5"/>
      </w:r>
      <w:r>
        <w:rPr>
          <w:rFonts w:ascii="Times New Roman" w:eastAsia="Times New Roman" w:hAnsi="Times New Roman" w:cs="Times New Roman"/>
        </w:rPr>
        <w:t>.</w:t>
      </w:r>
    </w:p>
    <w:p w14:paraId="3902FBA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kalanduspiirkonnas (Saaremaa, Muhu ja Ruhnu vald) oli 2022. a lõpu seisuga 240 kalapüügiloa omanikku (neist 8 naised), kellest omakorda 131 olid füüsilisest isikust ettevõtjad, 101 osaühingud, 3 aktsiaseltsid, 4 usaldusühingud ja 3 täisühingud</w:t>
      </w:r>
      <w:r>
        <w:rPr>
          <w:rStyle w:val="Allmrkuseviide"/>
          <w:rFonts w:ascii="Times New Roman" w:eastAsia="Times New Roman" w:hAnsi="Times New Roman" w:cs="Times New Roman"/>
        </w:rPr>
        <w:footnoteReference w:id="6"/>
      </w:r>
      <w:r>
        <w:rPr>
          <w:rFonts w:ascii="Times New Roman" w:eastAsia="Times New Roman" w:hAnsi="Times New Roman" w:cs="Times New Roman"/>
        </w:rPr>
        <w:t>. Püügilubadele oli kantud 447 inimest. Loale kantud kalurite arv on püsinud aastate 2015-2022 lõikes üsna stabiilsena, jäädes 430-450 piirimaile (loale võib kanda ka mitu kalurit). Rannakalurite osakaal kogu maakonna tööealisest elanikkonnast (23 445 inimest) moodustas 2022. a 1,9 %  (2015. a oli sama näit 1,2%).</w:t>
      </w:r>
    </w:p>
    <w:p w14:paraId="427C2236" w14:textId="7B0EDA65"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Valdaval enamikul Saaremaa kalanduspiirkonna kutselistest kaluritest on kalapüük kujunenud täiendavaks sissetulekuallikaks muu teenistuse (palgatöö, pension</w:t>
      </w:r>
      <w:r w:rsidR="001D4A1C">
        <w:rPr>
          <w:rFonts w:ascii="Times New Roman" w:eastAsia="Times New Roman" w:hAnsi="Times New Roman" w:cs="Times New Roman"/>
        </w:rPr>
        <w:t xml:space="preserve"> jms</w:t>
      </w:r>
      <w:r>
        <w:rPr>
          <w:rFonts w:ascii="Times New Roman" w:eastAsia="Times New Roman" w:hAnsi="Times New Roman" w:cs="Times New Roman"/>
        </w:rPr>
        <w:t xml:space="preserve">) kõrvalt. Seda peamiselt seoses lühikese püügihooajaga (püük toimub aastas aprillist kuni novembrini, kalurite hinnangul toimub aktiivne püük isegi ainult </w:t>
      </w:r>
      <w:r w:rsidR="001D4A1C">
        <w:rPr>
          <w:rFonts w:ascii="Times New Roman" w:eastAsia="Times New Roman" w:hAnsi="Times New Roman" w:cs="Times New Roman"/>
        </w:rPr>
        <w:t>neli</w:t>
      </w:r>
      <w:r>
        <w:rPr>
          <w:rFonts w:ascii="Times New Roman" w:eastAsia="Times New Roman" w:hAnsi="Times New Roman" w:cs="Times New Roman"/>
        </w:rPr>
        <w:t xml:space="preserve"> kuud aastas). Rannakalurite seas domineerivad jätkuvalt kesk- ja vanemaealised töötajad, kõige enam on esindatud vanusegrupp 46-70 (2022. a 52 % kõigist loale kantud kaluritest). Noorte osakaal (vanus 15-30) on väga väike ja langustrendis (2022. a ainult 4% kõigist loale kantud kaluritest).</w:t>
      </w:r>
    </w:p>
    <w:p w14:paraId="2F39397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Traalpüügi osakaal Saare maakonna kalanduses aastatel 2016 - 2022 on olnud alates 2020. a langustrendis. Kui 2016 - 2019 püüti veel keskmiselt 10 000 - 11 000  tonni, siis alates 2020. a on püügimahud jäänud 7000 - 8000 tonni kanti.</w:t>
      </w:r>
    </w:p>
    <w:p w14:paraId="415EB837" w14:textId="03DD55C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Rannakalanduse püütud kala kogused on olnud viimastel aastatel üsna stabiilsed kuigi ka  kerges langustrendis: aastal 2016 püüti kokku 650 tonni kala, parim aasta oli 2017, kui püüti 736 tonni. Kehvem aasta oli 2021, mil väljapüük oli kõigest 482 tonni. Enim püütud kala on ahven, püük on aastate lõikes 140-206 tonni ringis. Järgnevad lest 60-100 tonni ja tuulehaug 30-50 tonniga.</w:t>
      </w:r>
    </w:p>
    <w:p w14:paraId="69CDE6F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kalanduspiirkonnas on ametlikus statistikas kajastatud harrastuskalurite väljapüügid võrreldes teistega üsna väikesed, jäädes  aastatel 2016 - 2022 keskmiselt 30 ja 60 tonni juurde.</w:t>
      </w:r>
    </w:p>
    <w:p w14:paraId="1B22EC3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Aastatel 2016 - 2022,  on kaluritele kala esmakokkuostu hindadest lähtuvalt enim tulu toonud ahvenapüük - 2 296 167 € väärtuses, mis moodustas 56% kõigist väljapüütud kalakogustest, järgnesid lest - 517 786 € väärtuses ehk 13% kõigist väljapüütud kalakogustest ja särg - 293 963 € väärtuses ehk 7% kõigist väljapüütud kalakogustest.</w:t>
      </w:r>
    </w:p>
    <w:p w14:paraId="25CD13A9" w14:textId="408946AD"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maakonnas on 49 sadamat, kus lossitakse kala. Saaremaa on pikima rannajoonega kalanduspiirkond Eestis. Kokku on Saare maakonnas </w:t>
      </w:r>
      <w:r w:rsidR="006B6C8A">
        <w:rPr>
          <w:rFonts w:ascii="Times New Roman" w:eastAsia="Times New Roman" w:hAnsi="Times New Roman" w:cs="Times New Roman"/>
        </w:rPr>
        <w:t>159</w:t>
      </w:r>
      <w:r>
        <w:rPr>
          <w:rFonts w:ascii="Times New Roman" w:eastAsia="Times New Roman" w:hAnsi="Times New Roman" w:cs="Times New Roman"/>
        </w:rPr>
        <w:t xml:space="preserve"> lossimiskohta.</w:t>
      </w:r>
    </w:p>
    <w:p w14:paraId="477802C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Tartu Ülikooli Eesti Mereinstituudi poolt 2019. a koostatud kalavarude uuringu (</w:t>
      </w:r>
      <w:r>
        <w:rPr>
          <w:rFonts w:ascii="Times New Roman" w:eastAsia="Times New Roman" w:hAnsi="Times New Roman" w:cs="Times New Roman"/>
          <w:i/>
        </w:rPr>
        <w:t>Eesti kalandussektori riikliku töökava täitmine ja analüüs, teadusvaatlejate paigutamine eesti lipu all sõitvatele kalalaevadele ning teadussoovituste koostamine kalavarude haldamiseks 2018- 2019 aastal)</w:t>
      </w:r>
      <w:r>
        <w:rPr>
          <w:rFonts w:ascii="Times New Roman" w:eastAsia="Times New Roman" w:hAnsi="Times New Roman" w:cs="Times New Roman"/>
        </w:rPr>
        <w:t xml:space="preserve"> hinnangul on kalavaru Saaremaa lõunarannikul Liivi lahes viimastel aastatel püsinud küllaltki stabiilsel tasemel.</w:t>
      </w:r>
    </w:p>
    <w:p w14:paraId="620F519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Eelmisel rahastusperioodil pöörati suurt rõhku kohaliku kala tarbimisharjumuste väljakujundamisele. Saarlaste kala tarbimisharjumused langevad suuresti kokku kogu Eesti samade trendidega, valdavalt eelistatakse punast kala, eelkõige Pähkla forelli, oluliseks peetakse hinna ja kvaliteedi suhet. Kala tarbima harjunud inimesed eelistavad ka kvaliteetset kohalikku kala ja kalakulinaariat.</w:t>
      </w:r>
    </w:p>
    <w:p w14:paraId="00BA5B76" w14:textId="3156BC85" w:rsidR="008312AA" w:rsidRDefault="00000000">
      <w:pPr>
        <w:pStyle w:val="Normaallaadveeb"/>
        <w:spacing w:before="240" w:beforeAutospacing="0" w:after="240" w:afterAutospacing="0" w:line="276" w:lineRule="auto"/>
        <w:jc w:val="both"/>
      </w:pPr>
      <w:r>
        <w:rPr>
          <w:color w:val="000000"/>
        </w:rPr>
        <w:t xml:space="preserve">Kalalaevade registrisse on kantud Saare maakonnas 425 alla 12-meetrist kalalaeva (segment 4S2, seisuga </w:t>
      </w:r>
      <w:r>
        <w:t>1.01.2023</w:t>
      </w:r>
      <w:r>
        <w:rPr>
          <w:color w:val="000000"/>
        </w:rPr>
        <w:t xml:space="preserve">). Laevamasinate keskmine võimsus on 16,1 hj. 425 kalalaevast on 128 laeva </w:t>
      </w:r>
      <w:r w:rsidR="001D4A1C">
        <w:rPr>
          <w:color w:val="000000"/>
        </w:rPr>
        <w:t xml:space="preserve">kantud Kalalaevade </w:t>
      </w:r>
      <w:r>
        <w:rPr>
          <w:color w:val="000000"/>
        </w:rPr>
        <w:t>registris</w:t>
      </w:r>
      <w:r w:rsidR="001D4A1C">
        <w:rPr>
          <w:color w:val="000000"/>
        </w:rPr>
        <w:t>se</w:t>
      </w:r>
      <w:r>
        <w:rPr>
          <w:color w:val="000000"/>
        </w:rPr>
        <w:t xml:space="preserve"> sõudepaadina</w:t>
      </w:r>
      <w:r w:rsidR="001D4A1C">
        <w:rPr>
          <w:color w:val="000000"/>
        </w:rPr>
        <w:t>, mis on tingitud</w:t>
      </w:r>
      <w:r>
        <w:rPr>
          <w:color w:val="000000"/>
        </w:rPr>
        <w:t xml:space="preserve"> kilovattide puudus</w:t>
      </w:r>
      <w:r w:rsidR="001D4A1C">
        <w:rPr>
          <w:color w:val="000000"/>
        </w:rPr>
        <w:t>est</w:t>
      </w:r>
      <w:r>
        <w:rPr>
          <w:color w:val="000000"/>
        </w:rPr>
        <w:t xml:space="preserve">. Segmendi 4S2 laevadest </w:t>
      </w:r>
      <w:r w:rsidR="001D4A1C">
        <w:rPr>
          <w:color w:val="000000"/>
        </w:rPr>
        <w:t>pooled on ehitatud enne 2000. aastat</w:t>
      </w:r>
      <w:r>
        <w:rPr>
          <w:color w:val="000000"/>
        </w:rPr>
        <w:t>. Enim on amortiseerunud räimepüügiks mõeldud kakuam-tüüpi alused, uuendamist vajavad ka kalalaevade mootorid. Vähene kalapüük takistab omakorda i</w:t>
      </w:r>
      <w:r w:rsidR="001D4A1C">
        <w:rPr>
          <w:color w:val="000000"/>
        </w:rPr>
        <w:t>nvesteeringuid</w:t>
      </w:r>
      <w:r>
        <w:rPr>
          <w:color w:val="000000"/>
        </w:rPr>
        <w:t xml:space="preserve"> kalapaatidesse. Investeeringud tuleb teha muude tegevuste arvelt, mis pikemas perspektiivis ei ole </w:t>
      </w:r>
      <w:proofErr w:type="spellStart"/>
      <w:r>
        <w:rPr>
          <w:color w:val="000000"/>
        </w:rPr>
        <w:t>jätkusuutlik</w:t>
      </w:r>
      <w:proofErr w:type="spellEnd"/>
      <w:r w:rsidR="001D4A1C">
        <w:rPr>
          <w:color w:val="000000"/>
        </w:rPr>
        <w:t xml:space="preserve"> tegevus.</w:t>
      </w:r>
    </w:p>
    <w:p w14:paraId="0853818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Põllumajandus- ja Toiduameti (PTA) kontrolli all Saaremaal on (seisuga 1.01.2023) 10 kalakäitlemisega tegelevat käitlejat erinevate ettevõtetega. Nendele lisanduvad: üks eraelamus käitleja;  üks mikroettevõttena tegutsev käitleja; üks ladustamisega tegelev käitlemisettevõte.</w:t>
      </w:r>
    </w:p>
    <w:p w14:paraId="069CF2B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kalanduspiirkonnas on olulisel kohal ka vesiviljelus. Vesiviljelusega tegelevaid tegevusloaga ettevõtteid on piirkonnas 15 (kuus kalakasvatust ja 9 vähikasvatust) liikidest kasvatatakse peamiselt vikerforelli ja vähesel määral jõevähki. Suuremad kaubakala tootjad Saaremaal on OÜ </w:t>
      </w:r>
      <w:proofErr w:type="spellStart"/>
      <w:r>
        <w:rPr>
          <w:rFonts w:ascii="Times New Roman" w:eastAsia="Times New Roman" w:hAnsi="Times New Roman" w:cs="Times New Roman"/>
        </w:rPr>
        <w:t>AquaMyk</w:t>
      </w:r>
      <w:proofErr w:type="spellEnd"/>
      <w:r>
        <w:rPr>
          <w:rFonts w:ascii="Times New Roman" w:eastAsia="Times New Roman" w:hAnsi="Times New Roman" w:cs="Times New Roman"/>
        </w:rPr>
        <w:t xml:space="preserve">, OÜ </w:t>
      </w:r>
      <w:proofErr w:type="spellStart"/>
      <w:r>
        <w:rPr>
          <w:rFonts w:ascii="Times New Roman" w:eastAsia="Times New Roman" w:hAnsi="Times New Roman" w:cs="Times New Roman"/>
        </w:rPr>
        <w:t>Ösel</w:t>
      </w:r>
      <w:proofErr w:type="spellEnd"/>
      <w:r>
        <w:rPr>
          <w:rFonts w:ascii="Times New Roman" w:eastAsia="Times New Roman" w:hAnsi="Times New Roman" w:cs="Times New Roman"/>
        </w:rPr>
        <w:t xml:space="preserve"> Harvest ja OÜ Pähkla Vähi- ja Kalakasvatus.</w:t>
      </w:r>
      <w:r>
        <w:rPr>
          <w:rStyle w:val="Allmrkuseviide"/>
          <w:rFonts w:ascii="Times New Roman" w:eastAsia="Times New Roman" w:hAnsi="Times New Roman" w:cs="Times New Roman"/>
        </w:rPr>
        <w:footnoteReference w:id="7"/>
      </w:r>
      <w:r>
        <w:rPr>
          <w:rFonts w:ascii="Times New Roman" w:eastAsia="Times New Roman" w:hAnsi="Times New Roman" w:cs="Times New Roman"/>
        </w:rPr>
        <w:t xml:space="preserve"> Suurem osa vikerforelli toodangust turustatakse kas eluskalana või töödeldud kujul nii kohalikul turul kui ka Mandri-Eestisse.</w:t>
      </w:r>
    </w:p>
    <w:p w14:paraId="4E17E6D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Kuigi maakonnas tervikuna loodetakse uute (avamere) kalakasvatuste rajamisest suurt tulu</w:t>
      </w:r>
      <w:r>
        <w:rPr>
          <w:rStyle w:val="Allmrkuseviide"/>
          <w:rFonts w:ascii="Times New Roman" w:eastAsia="Times New Roman" w:hAnsi="Times New Roman" w:cs="Times New Roman"/>
        </w:rPr>
        <w:footnoteReference w:id="8"/>
      </w:r>
      <w:r>
        <w:rPr>
          <w:rFonts w:ascii="Times New Roman" w:eastAsia="Times New Roman" w:hAnsi="Times New Roman" w:cs="Times New Roman"/>
        </w:rPr>
        <w:t>, tuleb sellesse ettevõtmisesse suhtuda teatud ettevaatusega, kuna eelnevad praktikad ja tegevusanalüüsid on näidanud, et vaatamata suurtele investeeringutele ei ole suudetud planeeritud tegevusi soovitud tasemel ellu viia. Samuti võivad avamere kalakasvatused anda oma negatiivse panuse Läänemere keskkonnaseisundile.</w:t>
      </w:r>
    </w:p>
    <w:p w14:paraId="06001A4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Kalanduspiirkonna hetkeolukorra, SWOT ja TOWS analüüsidest tulenevalt on kalanduspiirkonna  jätkusuutliku tegevuse tagamiseks  vajalikud eelkõige järgmised tegevused:</w:t>
      </w:r>
    </w:p>
    <w:p w14:paraId="4CFC756C"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kalurkonna teadmiste ja oskuste edendamisele kaasaaitamine (kala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alased koolitused, lisaeriala õppimine kaluri tegevuste mitmekesistamise ja lisasissetulekute saamise võimaluse kontekstis, riigisisestel ja piiriülestel kalanduskoolitustel osalemine, messidel vms kalandusvaldkonnaga seotud sündmustel osalemine jne);</w:t>
      </w:r>
    </w:p>
    <w:p w14:paraId="0C319E75"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kohaliku kala,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ja kohaliku merekultuuri traditsioonide populariseerimisele kaasaaitamine (erinevad valdkonda tutvustavad, </w:t>
      </w:r>
      <w:proofErr w:type="spellStart"/>
      <w:r>
        <w:rPr>
          <w:rFonts w:ascii="Times New Roman" w:eastAsia="Times New Roman" w:hAnsi="Times New Roman" w:cs="Times New Roman"/>
        </w:rPr>
        <w:t>esiletoovad</w:t>
      </w:r>
      <w:proofErr w:type="spellEnd"/>
      <w:r>
        <w:rPr>
          <w:rFonts w:ascii="Times New Roman" w:eastAsia="Times New Roman" w:hAnsi="Times New Roman" w:cs="Times New Roman"/>
        </w:rPr>
        <w:t xml:space="preserve"> sündmused/ ettevõtmised piirkonnas);</w:t>
      </w:r>
    </w:p>
    <w:p w14:paraId="6698A965"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ühtekuuluvustunnet ja identiteeti suurendavate tegevuste toetamine;</w:t>
      </w:r>
    </w:p>
    <w:p w14:paraId="09A77F0E"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tegevuste mitmekesistamisega seotud tegevuste (soetused, investeeringud, koolitused jms)</w:t>
      </w:r>
    </w:p>
    <w:p w14:paraId="79C1FD1F"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ja otseturustamise ning nendega seotud soetuste/ investeeringute toetamine;</w:t>
      </w:r>
    </w:p>
    <w:p w14:paraId="22188194"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hüljeste ja kormoranide arvukuse ohjamine;</w:t>
      </w:r>
    </w:p>
    <w:p w14:paraId="212FD339"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kalavarude jätkusuutlikkuse tagamisele kaasaaitamine;</w:t>
      </w:r>
    </w:p>
    <w:p w14:paraId="42C6FDFC"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piirkonna looduskeskkonna tingimuste parendamine;</w:t>
      </w:r>
    </w:p>
    <w:p w14:paraId="670A82F0"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sadamate taristu parendamine ja tegevuste mitmekesistamine kalasadamas;</w:t>
      </w:r>
    </w:p>
    <w:p w14:paraId="194E1B97"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innovaatiliste s.h. </w:t>
      </w:r>
      <w:proofErr w:type="spellStart"/>
      <w:r>
        <w:rPr>
          <w:rFonts w:ascii="Times New Roman" w:eastAsia="Times New Roman" w:hAnsi="Times New Roman" w:cs="Times New Roman"/>
        </w:rPr>
        <w:t>sinimajanduse</w:t>
      </w:r>
      <w:proofErr w:type="spellEnd"/>
      <w:r>
        <w:rPr>
          <w:rFonts w:ascii="Times New Roman" w:eastAsia="Times New Roman" w:hAnsi="Times New Roman" w:cs="Times New Roman"/>
        </w:rPr>
        <w:t>, taastuvenergia jms kasutuselevõtmise toetamine;</w:t>
      </w:r>
    </w:p>
    <w:p w14:paraId="648520A2"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valdkonda reguleerivas õigusloomes kaasarääkimine.</w:t>
      </w:r>
    </w:p>
    <w:p w14:paraId="6241CA34" w14:textId="77777777" w:rsidR="008312AA" w:rsidRDefault="008312AA">
      <w:pPr>
        <w:spacing w:line="276" w:lineRule="auto"/>
        <w:jc w:val="left"/>
        <w:rPr>
          <w:rFonts w:ascii="Times New Roman" w:eastAsia="Times New Roman" w:hAnsi="Times New Roman" w:cs="Times New Roman"/>
        </w:rPr>
      </w:pPr>
    </w:p>
    <w:p w14:paraId="10F7278D"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Käesoleva strateegia visiooniks on see, et ranna- ja kalanduskogukonnad Saaremaal on elujõulised ja arenevad – kalurite aastaringne, tegevuste mitmekesistamise abil suurenev sissetulek võimaldab neil senist elustiili jätkata ja nii kohalikel kui külastajatel pakutavast kalasaagist ning kalatoodetest osa saada.</w:t>
      </w:r>
    </w:p>
    <w:p w14:paraId="74B50CF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oma tegevuses lähtub kalanduspiirkonna hetkeolukorra ja SWOT/ TOWS analüüsi tulemusel ilmsiks tulnud arenguvajadustest. Strateegia eesmärgid on suunatud peamiste kalanduspiirkonna kitsaskohtade lahendamisele. Samuti aitavad eesmärgid säilitada olemasolevaid töökohti sektoris. Eesmärke on püstitatud kuues tegevusvaldkonnas (täpsem teave peatükis nr 4 Strateegia eesmärgid ja toetatavad tegevused).</w:t>
      </w:r>
    </w:p>
    <w:p w14:paraId="60BF10C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Eesmärgid on struktureeritud vastavalt Regionaalministri  määruses “Perioodi 2021- 2027 kogukonna juhitud kohaliku arengu toetus” käsitletud tegevussuundadele.</w:t>
      </w:r>
    </w:p>
    <w:p w14:paraId="1CF4AE24" w14:textId="4A173B9D"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Toetatavad tegevused on püstitatud strateegiliste eesmärkide ja visiooni täitmiseks, võttes arvesse nii hetkeolukorda kui ka püstitatud eesmärke. Iga tegevussuuna juures on ära toodud tegevussuuna rakendamise lühike põhjendus ja seejärel peamiste toetatavate tegevuste kirjeldus</w:t>
      </w:r>
      <w:r w:rsidR="00105B68">
        <w:rPr>
          <w:rFonts w:ascii="Times New Roman" w:eastAsia="Times New Roman" w:hAnsi="Times New Roman" w:cs="Times New Roman"/>
        </w:rPr>
        <w:t>.</w:t>
      </w:r>
      <w:r>
        <w:rPr>
          <w:rFonts w:ascii="Times New Roman" w:eastAsia="Times New Roman" w:hAnsi="Times New Roman" w:cs="Times New Roman"/>
        </w:rPr>
        <w:t xml:space="preserve"> Kalanduspiirkonnale määratud projektitoetuste eelarve piirmäär on 3 538 977,22 € (eelarvejaotust tegevussuundade vahel täpsemalt kajastab strateegia peatükk nr 7 Rahastamiskava).</w:t>
      </w:r>
    </w:p>
    <w:p w14:paraId="71C965D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Projektivoore korraldatakse vähemalt kaks korda aastas, enne iga taotlusvooru toimub ka teabepäev. Projekte hindab </w:t>
      </w:r>
      <w:r>
        <w:rPr>
          <w:rFonts w:ascii="Times New Roman" w:eastAsia="Times New Roman" w:hAnsi="Times New Roman" w:cs="Times New Roman"/>
          <w:color w:val="ED0000"/>
        </w:rPr>
        <w:t>„MTÜ Saarte Kalandus projektitoetuse taotluste menetlemise ja hindamise korras</w:t>
      </w:r>
      <w:r>
        <w:rPr>
          <w:rFonts w:ascii="Times New Roman" w:eastAsia="Times New Roman" w:hAnsi="Times New Roman" w:cs="Times New Roman"/>
        </w:rPr>
        <w:t>“</w:t>
      </w:r>
      <w:r>
        <w:rPr>
          <w:rStyle w:val="Allmrkuseviide"/>
          <w:rFonts w:ascii="Times New Roman" w:eastAsia="Times New Roman" w:hAnsi="Times New Roman" w:cs="Times New Roman"/>
        </w:rPr>
        <w:footnoteReference w:id="9"/>
      </w:r>
      <w:r>
        <w:rPr>
          <w:rFonts w:ascii="Times New Roman" w:eastAsia="Times New Roman" w:hAnsi="Times New Roman" w:cs="Times New Roman"/>
        </w:rPr>
        <w:t xml:space="preserve"> sätestatu alusel üldkoosoleku poolt valitud üheksaliikmeline hindamiskomisjon.</w:t>
      </w:r>
    </w:p>
    <w:p w14:paraId="5655670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Saarte Kalandus peab oluliseks kestlikku kalandust, mis tagab nii kalandusvaldkonna konkurentsivõime kui ka kalavarude jätkusuutliku majandamise. MTÜ Saarte Kalandus käesoleva strateegia kaudu tegutseb selle nimel, et Saaremaa elanikele ja külastajatele oleks </w:t>
      </w:r>
      <w:r>
        <w:rPr>
          <w:rFonts w:ascii="Times New Roman" w:eastAsia="Times New Roman" w:hAnsi="Times New Roman" w:cs="Times New Roman"/>
        </w:rPr>
        <w:lastRenderedPageBreak/>
        <w:t xml:space="preserve">aastaringselt kohalik värske kala kättesaadav, et kohalik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traditsioon ei hääbuks ja, et kalanduskogukonnad oleksid aktiivsed ja märgatud.</w:t>
      </w:r>
      <w:r>
        <w:br w:type="page"/>
      </w:r>
    </w:p>
    <w:p w14:paraId="255EB470" w14:textId="77777777" w:rsidR="008312AA" w:rsidRDefault="00000000" w:rsidP="00541032">
      <w:pPr>
        <w:pStyle w:val="Pealkiri1"/>
        <w:spacing w:before="0"/>
        <w:ind w:left="0" w:firstLine="0"/>
        <w:jc w:val="left"/>
        <w:rPr>
          <w:rFonts w:ascii="Times New Roman" w:eastAsia="Times New Roman" w:hAnsi="Times New Roman" w:cs="Times New Roman"/>
        </w:rPr>
      </w:pPr>
      <w:bookmarkStart w:id="3" w:name="_heading=h.iwob31f7s406"/>
      <w:bookmarkStart w:id="4" w:name="_Toc157420925"/>
      <w:bookmarkEnd w:id="3"/>
      <w:r>
        <w:rPr>
          <w:rFonts w:ascii="Times New Roman" w:hAnsi="Times New Roman" w:cs="Times New Roman"/>
          <w:color w:val="0070C0"/>
        </w:rPr>
        <w:lastRenderedPageBreak/>
        <w:t>1. Lähteolukorra ülevaade</w:t>
      </w:r>
      <w:bookmarkEnd w:id="4"/>
    </w:p>
    <w:p w14:paraId="3D3D034E" w14:textId="77777777" w:rsidR="008312AA" w:rsidRDefault="008312AA">
      <w:pPr>
        <w:spacing w:line="276" w:lineRule="auto"/>
        <w:rPr>
          <w:rFonts w:ascii="Times New Roman" w:hAnsi="Times New Roman" w:cs="Times New Roman"/>
        </w:rPr>
      </w:pPr>
    </w:p>
    <w:p w14:paraId="68B4A04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Selles peatükis antakse ülevaade kalanduspiirkonnast üldiselt s.h. kajastatakse piirkonna rahvastiku, tööhõive, ettevõtluskeskkonna olulisemaid näitajaid. Samuti antakse ülevaade piirkonna looduskaitsealadest ja veekeskkonna seisundist ning mereala planeeringust.</w:t>
      </w:r>
    </w:p>
    <w:p w14:paraId="74758E9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Siin peatükis analüüsitakse ka piirkonnale iseloomulikku kalapüügi ja kalalaevastiku olukorda. Antakse ülevaade vesiviljeluse keskkonnast ja kalavarude olukorrast ning kala esmakokkuostu hindadest. Samuti annab peatükk ülevaate, milline on tööhõive ja elatumisvõimalused piirkonna kalandusvaldkonnas. Analüüsitakse sadamate ja lossimiskohtade olukorda ja arendamise vajadusi/ võimalusi. Antakse ülevaade Eesti ja Saaremaa kalanduspiirkonna kala tarbimisharjumustest ning kalanduspiirkonda tutvustavatest sündmustest.</w:t>
      </w:r>
    </w:p>
    <w:p w14:paraId="5CEB5B84" w14:textId="77777777" w:rsidR="008312AA" w:rsidRDefault="008312AA">
      <w:pPr>
        <w:spacing w:line="276" w:lineRule="auto"/>
        <w:rPr>
          <w:rFonts w:ascii="Times New Roman" w:eastAsia="Times New Roman" w:hAnsi="Times New Roman" w:cs="Times New Roman"/>
        </w:rPr>
      </w:pPr>
    </w:p>
    <w:p w14:paraId="4C22C71F" w14:textId="77777777" w:rsidR="008312AA" w:rsidRDefault="00000000" w:rsidP="00541032">
      <w:pPr>
        <w:pStyle w:val="Pealkiri2"/>
        <w:ind w:left="0" w:firstLine="0"/>
        <w:jc w:val="left"/>
        <w:rPr>
          <w:rFonts w:ascii="Times New Roman" w:hAnsi="Times New Roman" w:cs="Times New Roman"/>
          <w:color w:val="7030A0"/>
          <w:sz w:val="28"/>
          <w:szCs w:val="28"/>
        </w:rPr>
      </w:pPr>
      <w:bookmarkStart w:id="5" w:name="_Toc157420926"/>
      <w:r>
        <w:rPr>
          <w:rFonts w:ascii="Times New Roman" w:hAnsi="Times New Roman" w:cs="Times New Roman"/>
          <w:color w:val="7030A0"/>
          <w:sz w:val="28"/>
          <w:szCs w:val="28"/>
        </w:rPr>
        <w:t>1.1. Piirkonna iseloomustus</w:t>
      </w:r>
      <w:bookmarkEnd w:id="5"/>
    </w:p>
    <w:p w14:paraId="6D3DC6E0" w14:textId="77777777" w:rsidR="008312AA" w:rsidRDefault="008312AA">
      <w:pPr>
        <w:spacing w:line="276" w:lineRule="auto"/>
        <w:rPr>
          <w:rFonts w:ascii="Times New Roman" w:eastAsia="Times New Roman" w:hAnsi="Times New Roman" w:cs="Times New Roman"/>
          <w:sz w:val="28"/>
          <w:szCs w:val="28"/>
        </w:rPr>
      </w:pPr>
    </w:p>
    <w:p w14:paraId="76037EA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maakond hõlmab Saaremaa ja Muhu saart koos neid ümbritsevate väikesaartega ning Ruhnu saart Liivi lahes. Maakonna pindala on 2922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ehk 6,7 % Eesti pindalast. Saare maakonna kalanduspiirkond ühtib oma piiridelt Saare maakonna piiridega Peamised püügipiirkonnad on Liivi laht (püügiruut 28-1), Läänemere keskosa (püügiruudud 28-2 ja 29) ning siseveekogudest Nasva jõgi ning Mullutu laht.</w:t>
      </w:r>
    </w:p>
    <w:p w14:paraId="7F1FA41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Halduslikult jaguneb maakond 3 vallaks – Saaremaa, Muhu ja Ruhnu. Saaremaa valla koosseisu kuulub ka Kuressaare linn. Saare maakonnas on 1 linn, 9 alevikku ja 492 küla. Saare maakonna inimeste elu oluline mõjutaja on meri. Maakonna eripäraks on kõigi kolme omavalitsuste puhul </w:t>
      </w:r>
      <w:proofErr w:type="spellStart"/>
      <w:r>
        <w:rPr>
          <w:rFonts w:ascii="Times New Roman" w:eastAsia="Times New Roman" w:hAnsi="Times New Roman" w:cs="Times New Roman"/>
        </w:rPr>
        <w:t>saarelisus</w:t>
      </w:r>
      <w:proofErr w:type="spellEnd"/>
      <w:r>
        <w:rPr>
          <w:rFonts w:ascii="Times New Roman" w:eastAsia="Times New Roman" w:hAnsi="Times New Roman" w:cs="Times New Roman"/>
        </w:rPr>
        <w:t xml:space="preserve">, mis on positiivses vaates soodustanud piirkonna omapära säilitamist ja teatud probleemidest hoidumist (nt kuritegevus). </w:t>
      </w:r>
      <w:proofErr w:type="spellStart"/>
      <w:r>
        <w:rPr>
          <w:rFonts w:ascii="Times New Roman" w:eastAsia="Times New Roman" w:hAnsi="Times New Roman" w:cs="Times New Roman"/>
        </w:rPr>
        <w:t>Saarelisus</w:t>
      </w:r>
      <w:proofErr w:type="spellEnd"/>
      <w:r>
        <w:rPr>
          <w:rFonts w:ascii="Times New Roman" w:eastAsia="Times New Roman" w:hAnsi="Times New Roman" w:cs="Times New Roman"/>
        </w:rPr>
        <w:t xml:space="preserve"> loob samas ka väljakutseid nii majanduse arengu kui rahvastiku jätkusuutlikkuse kontekstis, mida tugevuste abil lahendada. Maakonna konkurentsieelisteks on:</w:t>
      </w:r>
    </w:p>
    <w:p w14:paraId="7BE5E555" w14:textId="77777777" w:rsidR="008312AA" w:rsidRDefault="00000000">
      <w:pPr>
        <w:pStyle w:val="Loendilik"/>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looduslik ja puhas elukeskkond – säilinud traditsioonid ja looduslähedus;</w:t>
      </w:r>
    </w:p>
    <w:p w14:paraId="3D9BE0E5" w14:textId="77777777" w:rsidR="008312AA" w:rsidRDefault="00000000">
      <w:pPr>
        <w:pStyle w:val="Loendilik"/>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turvaline elukeskkond;</w:t>
      </w:r>
    </w:p>
    <w:p w14:paraId="200F8424" w14:textId="77777777" w:rsidR="008312AA" w:rsidRDefault="00000000">
      <w:pPr>
        <w:pStyle w:val="Loendilik"/>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tugev kogukond.</w:t>
      </w:r>
    </w:p>
    <w:p w14:paraId="0E4D0F7B" w14:textId="77777777" w:rsidR="008312AA" w:rsidRDefault="008312AA">
      <w:pPr>
        <w:spacing w:line="276" w:lineRule="auto"/>
        <w:rPr>
          <w:rFonts w:ascii="Times New Roman" w:eastAsia="Times New Roman" w:hAnsi="Times New Roman" w:cs="Times New Roman"/>
        </w:rPr>
      </w:pPr>
    </w:p>
    <w:p w14:paraId="3D579037" w14:textId="77777777" w:rsidR="008312AA" w:rsidRDefault="00000000" w:rsidP="00541032">
      <w:pPr>
        <w:pStyle w:val="Pealkiri3"/>
        <w:spacing w:line="276" w:lineRule="auto"/>
        <w:ind w:left="0" w:firstLine="0"/>
        <w:jc w:val="left"/>
        <w:rPr>
          <w:rFonts w:ascii="Times New Roman" w:hAnsi="Times New Roman" w:cs="Times New Roman"/>
          <w:color w:val="002060"/>
        </w:rPr>
      </w:pPr>
      <w:bookmarkStart w:id="6" w:name="_Toc157420927"/>
      <w:r>
        <w:rPr>
          <w:rFonts w:ascii="Times New Roman" w:hAnsi="Times New Roman" w:cs="Times New Roman"/>
          <w:color w:val="002060"/>
        </w:rPr>
        <w:t>1.1.1. Rahvastik</w:t>
      </w:r>
      <w:bookmarkEnd w:id="6"/>
    </w:p>
    <w:p w14:paraId="6344601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2023. a 1. jaanuari seisuga elas Saare maakonnas Statistikaameti  andmetel 31 919  elanikku (10,9 elanikku km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kohta).</w:t>
      </w:r>
      <w:r>
        <w:rPr>
          <w:rStyle w:val="Allmrkuseviide"/>
          <w:rFonts w:ascii="Times New Roman" w:eastAsia="Times New Roman" w:hAnsi="Times New Roman" w:cs="Times New Roman"/>
        </w:rPr>
        <w:footnoteReference w:id="10"/>
      </w:r>
      <w:r>
        <w:rPr>
          <w:rFonts w:ascii="Times New Roman" w:eastAsia="Times New Roman" w:hAnsi="Times New Roman" w:cs="Times New Roman"/>
        </w:rPr>
        <w:t xml:space="preserve">  Loomulik iive on maakonnas jätkuvalt  negatiivne, rahvaarv kasvab valdavalt sisserändajate toel.</w:t>
      </w:r>
    </w:p>
    <w:p w14:paraId="5127A24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Pikemaajaliste trendide jälgimiseks on võetud aluseks konservatiivsemad ning küsitluspõhised rahvastikuloenduse andmed. Kuigi peab arvestama, et metoodikad ei ole loendustel olnud täpselt ühesugused, siis siiski on nende järgi viimase 10 aasta jooksul Saare maakonna rahvaarv </w:t>
      </w:r>
      <w:r>
        <w:rPr>
          <w:rFonts w:ascii="Times New Roman" w:eastAsia="Times New Roman" w:hAnsi="Times New Roman" w:cs="Times New Roman"/>
        </w:rPr>
        <w:lastRenderedPageBreak/>
        <w:t>sisuliselt stabiilsena püsinud. Kahanemine 25 inimese võrra 31292-ni ei ole märkimisväärne, pigem on see Eesti mõistes hea tulemus. Keskmise eluea tõusu ning sündide väiksema arvuga kaasneb ühiskonna vananemine. Rahvaloenduse andmetel on Saare maakonnas 2021. a võrreldes 2011. a rahvaloendusega 65+ elanike hulk 608 inimese ehk 9,4% võrra suurenenud, samal ajal kui tööealisi on jäänud 769 inimese ehk 4% võrra vähemaks. Maakonna elanike keskmine vanus on kasvanud 10 aastaga 38,6-lt 44,1 aastani.</w:t>
      </w:r>
      <w:r>
        <w:rPr>
          <w:rStyle w:val="Allmrkuseviide"/>
          <w:rFonts w:ascii="Times New Roman" w:eastAsia="Times New Roman" w:hAnsi="Times New Roman" w:cs="Times New Roman"/>
        </w:rPr>
        <w:footnoteReference w:id="11"/>
      </w:r>
    </w:p>
    <w:p w14:paraId="78898004" w14:textId="77777777" w:rsidR="008312AA" w:rsidRDefault="008312AA">
      <w:pPr>
        <w:spacing w:line="276" w:lineRule="auto"/>
        <w:rPr>
          <w:rFonts w:ascii="Times New Roman" w:eastAsia="Times New Roman" w:hAnsi="Times New Roman" w:cs="Times New Roman"/>
        </w:rPr>
      </w:pPr>
    </w:p>
    <w:p w14:paraId="4E010DD1"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7D587C1F" wp14:editId="469EB8CF">
            <wp:extent cx="5731510" cy="2984500"/>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noChangeArrowheads="1"/>
                    </pic:cNvPicPr>
                  </pic:nvPicPr>
                  <pic:blipFill>
                    <a:blip r:embed="rId10"/>
                    <a:stretch>
                      <a:fillRect/>
                    </a:stretch>
                  </pic:blipFill>
                  <pic:spPr bwMode="auto">
                    <a:xfrm>
                      <a:off x="0" y="0"/>
                      <a:ext cx="5731510" cy="2984500"/>
                    </a:xfrm>
                    <a:prstGeom prst="rect">
                      <a:avLst/>
                    </a:prstGeom>
                  </pic:spPr>
                </pic:pic>
              </a:graphicData>
            </a:graphic>
          </wp:inline>
        </w:drawing>
      </w:r>
    </w:p>
    <w:p w14:paraId="197BE837" w14:textId="77777777" w:rsidR="008312AA" w:rsidRDefault="008312AA">
      <w:pPr>
        <w:spacing w:line="276" w:lineRule="auto"/>
        <w:rPr>
          <w:rFonts w:ascii="Times New Roman" w:eastAsia="Times New Roman" w:hAnsi="Times New Roman" w:cs="Times New Roman"/>
        </w:rPr>
      </w:pPr>
    </w:p>
    <w:p w14:paraId="41883EED" w14:textId="77777777"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i/>
        </w:rPr>
        <w:t>Joonis 1: Loomulik - ja rändeiive Saare maakonnas aastatel 2016-2022 (allikas: Statistikaamet)</w:t>
      </w:r>
    </w:p>
    <w:p w14:paraId="22E2E5BD" w14:textId="77777777" w:rsidR="008312AA" w:rsidRDefault="008312AA">
      <w:pPr>
        <w:spacing w:line="276" w:lineRule="auto"/>
        <w:rPr>
          <w:rFonts w:ascii="Times New Roman" w:eastAsia="Times New Roman" w:hAnsi="Times New Roman" w:cs="Times New Roman"/>
        </w:rPr>
      </w:pPr>
    </w:p>
    <w:p w14:paraId="75943CC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Kuigi numbrid on üsna positiivsed, võib Statistikaameti rahvastikuprognoosi järgi eeldada, et Saare maakonna rahvaarv on siiski jätkuvalt langustrendis. Näiteks prognoositav rahvaarv Saare maakonnas on aastaks 2045 on 27 532 elanikku.</w:t>
      </w:r>
      <w:r>
        <w:rPr>
          <w:rStyle w:val="Allmrkuseviide"/>
          <w:rFonts w:ascii="Times New Roman" w:eastAsia="Times New Roman" w:hAnsi="Times New Roman" w:cs="Times New Roman"/>
        </w:rPr>
        <w:footnoteReference w:id="12"/>
      </w:r>
      <w:r>
        <w:rPr>
          <w:rFonts w:ascii="Times New Roman" w:eastAsia="Times New Roman" w:hAnsi="Times New Roman" w:cs="Times New Roman"/>
        </w:rPr>
        <w:t xml:space="preserve"> Aastatel 2011–2015 oli elanike arvu vähenemise peamiseks põhjuseks negatiivne rändesaldo, 2016 - 2021 aastatel aga eelkõige negatiivne iive. </w:t>
      </w:r>
      <w:r>
        <w:rPr>
          <w:rStyle w:val="Allmrkuseviide"/>
          <w:rFonts w:ascii="Times New Roman" w:eastAsia="Times New Roman" w:hAnsi="Times New Roman" w:cs="Times New Roman"/>
        </w:rPr>
        <w:footnoteReference w:id="13"/>
      </w:r>
      <w:r>
        <w:rPr>
          <w:rFonts w:ascii="Times New Roman" w:eastAsia="Times New Roman" w:hAnsi="Times New Roman" w:cs="Times New Roman"/>
        </w:rPr>
        <w:t xml:space="preserve"> 2022. a järsult tõusnud rändeiibe põhjuseks on Ukraina pagulaste sisseränne maakonda.</w:t>
      </w:r>
    </w:p>
    <w:p w14:paraId="52EBA1B0" w14:textId="77777777" w:rsidR="008312AA" w:rsidRDefault="00000000" w:rsidP="00B411B4">
      <w:pPr>
        <w:spacing w:before="300" w:after="300" w:line="276" w:lineRule="auto"/>
        <w:jc w:val="center"/>
        <w:rPr>
          <w:rFonts w:ascii="Times New Roman" w:eastAsia="Times New Roman" w:hAnsi="Times New Roman" w:cs="Times New Roman"/>
        </w:rPr>
      </w:pPr>
      <w:r>
        <w:rPr>
          <w:noProof/>
        </w:rPr>
        <w:lastRenderedPageBreak/>
        <w:drawing>
          <wp:inline distT="0" distB="0" distL="0" distR="0" wp14:anchorId="5224A74D" wp14:editId="63332776">
            <wp:extent cx="4615815" cy="4731385"/>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11"/>
                    <a:stretch>
                      <a:fillRect/>
                    </a:stretch>
                  </pic:blipFill>
                  <pic:spPr bwMode="auto">
                    <a:xfrm>
                      <a:off x="0" y="0"/>
                      <a:ext cx="4615815" cy="4731385"/>
                    </a:xfrm>
                    <a:prstGeom prst="rect">
                      <a:avLst/>
                    </a:prstGeom>
                  </pic:spPr>
                </pic:pic>
              </a:graphicData>
            </a:graphic>
          </wp:inline>
        </w:drawing>
      </w:r>
    </w:p>
    <w:p w14:paraId="34A6B43B"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2: Saare maakonna rahvastikupüramiid 2022 (allikas: Statistikaamet)</w:t>
      </w:r>
    </w:p>
    <w:p w14:paraId="7A5D065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elanikud moodustavad 2,3% kogu Eesti elanikest. 20% elanikkonnast on nooremad, kui 20 aastat, 57% on tööealised ehk 20-64-aastased ning 23% 65-aastased või vanemad. Eestis keskmiselt on 65-aastseid ja vanemaid inimesi osatähtsuselt veidi vähem – 20%. Naisi on Saaremaal kokku 52%, kuid </w:t>
      </w:r>
      <w:proofErr w:type="spellStart"/>
      <w:r>
        <w:rPr>
          <w:rFonts w:ascii="Times New Roman" w:eastAsia="Times New Roman" w:hAnsi="Times New Roman" w:cs="Times New Roman"/>
        </w:rPr>
        <w:t>vanuserühmiti</w:t>
      </w:r>
      <w:proofErr w:type="spellEnd"/>
      <w:r>
        <w:rPr>
          <w:rFonts w:ascii="Times New Roman" w:eastAsia="Times New Roman" w:hAnsi="Times New Roman" w:cs="Times New Roman"/>
        </w:rPr>
        <w:t xml:space="preserve"> on nende osatähtsus erinev. Naiste osatähtsus võrreldes meestega on väiksem alla 50- aastaste hulgas, 70-aastaste ja vanemate hulgas on naiste osatähtsus üle 60%. Sellise soovanusjaotuse kujunemise on põhjustanud mitmed rahvastikuprotsessid nagu noorte rände sooline erinevus ja naiste pikem eluiga. Samas tulevikus peaks need erinevused vähenema, sest meeste keskmine eluiga kasvab juba paarkümmend aastat naistest kiiremini.</w:t>
      </w:r>
      <w:r>
        <w:rPr>
          <w:rStyle w:val="Allmrkuseviide"/>
          <w:rFonts w:ascii="Times New Roman" w:eastAsia="Times New Roman" w:hAnsi="Times New Roman" w:cs="Times New Roman"/>
        </w:rPr>
        <w:footnoteReference w:id="14"/>
      </w:r>
    </w:p>
    <w:p w14:paraId="5DC9E9D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Rahvastikupüramiidi tuleks suhtuda siiski teatud reservatsiooniga, kuna registrijärgne elukoht ja tegelik elukoht ei pruugi kattuda, Saare maakonda registreerituks jäädakse erinevatel põhjustel (nt soodustused praamipiletite ostmisel).</w:t>
      </w:r>
    </w:p>
    <w:p w14:paraId="261C9EA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maakonnas elavad inimesed enamasti maalistes asustuspiirkondades. Kui Eestis keskmiselt elab linnalistes asustuspiirkondades (linnades ja nende ümbruse suurema </w:t>
      </w:r>
      <w:r>
        <w:rPr>
          <w:rFonts w:ascii="Times New Roman" w:eastAsia="Times New Roman" w:hAnsi="Times New Roman" w:cs="Times New Roman"/>
        </w:rPr>
        <w:lastRenderedPageBreak/>
        <w:t>rahvastikutihedusega asulates) 70% inimestest, siis Saaremaal vaid 44%. See väljendub ka asustustiheduses – kui Eestis keskmiselt elab ühel ruutkilomeetril 31 inimest, siis Saaremaal 11.</w:t>
      </w:r>
      <w:r>
        <w:rPr>
          <w:rStyle w:val="Allmrkuseviide"/>
          <w:rFonts w:ascii="Times New Roman" w:eastAsia="Times New Roman" w:hAnsi="Times New Roman" w:cs="Times New Roman"/>
        </w:rPr>
        <w:footnoteReference w:id="15"/>
      </w:r>
    </w:p>
    <w:p w14:paraId="32FFDD7D" w14:textId="7856E3F4" w:rsidR="008312AA" w:rsidRDefault="00000000">
      <w:pPr>
        <w:spacing w:line="276" w:lineRule="auto"/>
        <w:rPr>
          <w:rFonts w:ascii="Times New Roman" w:eastAsia="Times New Roman" w:hAnsi="Times New Roman" w:cs="Times New Roman"/>
        </w:rPr>
      </w:pPr>
      <w:bookmarkStart w:id="8" w:name="_Hlk154130046"/>
      <w:r>
        <w:rPr>
          <w:rFonts w:ascii="Times New Roman" w:eastAsia="Times New Roman" w:hAnsi="Times New Roman" w:cs="Times New Roman"/>
        </w:rPr>
        <w:t xml:space="preserve">Saaremaa valla Tugiteenuste osakonnast </w:t>
      </w:r>
      <w:bookmarkEnd w:id="8"/>
      <w:r>
        <w:rPr>
          <w:rFonts w:ascii="Times New Roman" w:eastAsia="Times New Roman" w:hAnsi="Times New Roman" w:cs="Times New Roman"/>
        </w:rPr>
        <w:t>saadud andmetel sisemaal asuvad maakoha asulad on enamasti väheneva elanikkonnaga. Rohkem linna tüüpi asustus on koondunud Kuressaare linna ja selle ümbrusse (</w:t>
      </w:r>
      <w:proofErr w:type="spellStart"/>
      <w:r>
        <w:rPr>
          <w:rFonts w:ascii="Times New Roman" w:eastAsia="Times New Roman" w:hAnsi="Times New Roman" w:cs="Times New Roman"/>
        </w:rPr>
        <w:t>Kudjape</w:t>
      </w:r>
      <w:proofErr w:type="spellEnd"/>
      <w:r>
        <w:rPr>
          <w:rFonts w:ascii="Times New Roman" w:eastAsia="Times New Roman" w:hAnsi="Times New Roman" w:cs="Times New Roman"/>
        </w:rPr>
        <w:t xml:space="preserve"> ja Nasva alevikud, </w:t>
      </w:r>
      <w:proofErr w:type="spellStart"/>
      <w:r>
        <w:rPr>
          <w:rFonts w:ascii="Times New Roman" w:eastAsia="Times New Roman" w:hAnsi="Times New Roman" w:cs="Times New Roman"/>
        </w:rPr>
        <w:t>Muratsi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Praakli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Upa</w:t>
      </w:r>
      <w:proofErr w:type="spellEnd"/>
      <w:r>
        <w:rPr>
          <w:rFonts w:ascii="Times New Roman" w:eastAsia="Times New Roman" w:hAnsi="Times New Roman" w:cs="Times New Roman"/>
        </w:rPr>
        <w:t>, Vaivere,</w:t>
      </w:r>
      <w:r w:rsidR="00105B68">
        <w:rPr>
          <w:rFonts w:ascii="Times New Roman" w:eastAsia="Times New Roman" w:hAnsi="Times New Roman" w:cs="Times New Roman"/>
        </w:rPr>
        <w:t xml:space="preserve"> </w:t>
      </w:r>
      <w:r>
        <w:rPr>
          <w:rFonts w:ascii="Times New Roman" w:eastAsia="Times New Roman" w:hAnsi="Times New Roman" w:cs="Times New Roman"/>
        </w:rPr>
        <w:t>Laheküla). Seal elab 47 % kogu saaremaa rahvastikust ehk umbes 14 750 elanikku, ülejäänud 53 % elab maapiirkondades. Võrdluseks, Eestis keskmisena elab ligi 67% riigi elanikkonnast linnades. Eriti kiirelt, üle 20%, on kahanenud Kuressaarest kaugemate Torgu, Kihelkonna, Mustjala, Orissaare, Pöide, Laimjala piirkondade rahvastik.</w:t>
      </w:r>
    </w:p>
    <w:p w14:paraId="534CFE98" w14:textId="77777777" w:rsidR="00105B68"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Muhu valla rahvastiku vähenemine on peatunud ja on vaikselt tõusutrendis. 2019. a 1. jaanuari seisuga oli Muhu saarel 1945 elanikku ja 2023. a 1. jaanuari seisuga 2080 elanikku. </w:t>
      </w:r>
    </w:p>
    <w:p w14:paraId="1CE0D64F" w14:textId="3873F363"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 Ruhnu vallas näitab elanike arv mõningast tõusutrendi. Kui 2019. a 1. jaanuari seisuga oli saarel 161 elanikku, siis 2023. a 1. jaanuari seisuga oli elanikke 173. Enamasti on elanikkonna arv kasvanud nende arvelt, kes elavad Ruhnus vaid suviti: sissekirjutust omavast isikust elab umbes 2/3 saarel vaid suvel.</w:t>
      </w:r>
    </w:p>
    <w:p w14:paraId="788A5CA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Rahvastiku dünaamika viitab maakonna servaalade ääremaastumisele ning Kuressaare lähiümbruses Kaarma piirkonnas toimuvale ees- ja </w:t>
      </w:r>
      <w:proofErr w:type="spellStart"/>
      <w:r>
        <w:rPr>
          <w:rFonts w:ascii="Times New Roman" w:eastAsia="Times New Roman" w:hAnsi="Times New Roman" w:cs="Times New Roman"/>
        </w:rPr>
        <w:t>valglinnastumisele</w:t>
      </w:r>
      <w:proofErr w:type="spellEnd"/>
      <w:r>
        <w:rPr>
          <w:rFonts w:ascii="Times New Roman" w:eastAsia="Times New Roman" w:hAnsi="Times New Roman" w:cs="Times New Roman"/>
        </w:rPr>
        <w:t xml:space="preserve">. Ülejäänud osa Saaremaast ja Muhumaast on suhteliselt hõreda asustusega maapiirkonnad. Asustus paikneb suhteliselt ühtlaselt üle mõlema saare, kus rannikul asuvad traditsioonilised kalurikülad ja sisemaal põllumajandusega tegelevad külad. Külad on elanike arvu poolest üldiselt väikesed, kuid on ka suuremaid üle 200 elanikuga (lisaks </w:t>
      </w:r>
      <w:proofErr w:type="spellStart"/>
      <w:r>
        <w:rPr>
          <w:rFonts w:ascii="Times New Roman" w:eastAsia="Times New Roman" w:hAnsi="Times New Roman" w:cs="Times New Roman"/>
        </w:rPr>
        <w:t>Muratsi</w:t>
      </w:r>
      <w:proofErr w:type="spellEnd"/>
      <w:r>
        <w:rPr>
          <w:rFonts w:ascii="Times New Roman" w:eastAsia="Times New Roman" w:hAnsi="Times New Roman" w:cs="Times New Roman"/>
        </w:rPr>
        <w:t xml:space="preserve"> külale ja Lahekülale Mustjala, Mändjala, Kõljala). Alevikud: Orissaare 820, </w:t>
      </w:r>
      <w:proofErr w:type="spellStart"/>
      <w:r>
        <w:rPr>
          <w:rFonts w:ascii="Times New Roman" w:eastAsia="Times New Roman" w:hAnsi="Times New Roman" w:cs="Times New Roman"/>
        </w:rPr>
        <w:t>Kudjape</w:t>
      </w:r>
      <w:proofErr w:type="spellEnd"/>
      <w:r>
        <w:rPr>
          <w:rFonts w:ascii="Times New Roman" w:eastAsia="Times New Roman" w:hAnsi="Times New Roman" w:cs="Times New Roman"/>
        </w:rPr>
        <w:t xml:space="preserve"> 690, Kärla 500, Salme 470, Valjala 410, Nasva 400, Aste 380, Kihelkonna 340, Leisi 320</w:t>
      </w:r>
      <w:r>
        <w:rPr>
          <w:rStyle w:val="Allmrkuseviide"/>
          <w:rFonts w:ascii="Times New Roman" w:eastAsia="Times New Roman" w:hAnsi="Times New Roman" w:cs="Times New Roman"/>
        </w:rPr>
        <w:footnoteReference w:id="16"/>
      </w:r>
      <w:r>
        <w:rPr>
          <w:rFonts w:ascii="Times New Roman" w:eastAsia="Times New Roman" w:hAnsi="Times New Roman" w:cs="Times New Roman"/>
        </w:rPr>
        <w:t>.</w:t>
      </w:r>
    </w:p>
    <w:p w14:paraId="6F1074B6" w14:textId="77777777" w:rsidR="008312AA" w:rsidRDefault="00000000">
      <w:pPr>
        <w:spacing w:line="276" w:lineRule="auto"/>
        <w:rPr>
          <w:rFonts w:ascii="Times New Roman" w:eastAsia="Times New Roman" w:hAnsi="Times New Roman" w:cs="Times New Roman"/>
        </w:rPr>
      </w:pPr>
      <w:proofErr w:type="spellStart"/>
      <w:r>
        <w:rPr>
          <w:rFonts w:ascii="Times New Roman" w:eastAsia="Times New Roman" w:hAnsi="Times New Roman" w:cs="Times New Roman"/>
        </w:rPr>
        <w:t>Hajaasustuse</w:t>
      </w:r>
      <w:proofErr w:type="spellEnd"/>
      <w:r>
        <w:rPr>
          <w:rFonts w:ascii="Times New Roman" w:eastAsia="Times New Roman" w:hAnsi="Times New Roman" w:cs="Times New Roman"/>
        </w:rPr>
        <w:t xml:space="preserve"> tõttu on Saaremaa piirialadel üha keerulisem pakkuda mitmekesiseid avalikke teenuseid (asustus tihedus 10,9 elanikku km² kohta). Enamik elanikkonnast ja teenustest on koondunud Kuressaare linna, mis muudab logistiliselt keerukamaks nende kättesaamise äärealade elanikele. Probleemi püütakse lahendada valla poolt organiseeritud tasuta sotsiaaltranspordiga.</w:t>
      </w:r>
    </w:p>
    <w:p w14:paraId="655A5D6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maakond paistab silma moonutustega rahvastiku statistikas. Selle põhjusteks on:</w:t>
      </w:r>
    </w:p>
    <w:p w14:paraId="56BF33C7" w14:textId="77777777" w:rsidR="008312AA" w:rsidRDefault="00000000">
      <w:pPr>
        <w:pStyle w:val="Loendilik"/>
        <w:numPr>
          <w:ilvl w:val="0"/>
          <w:numId w:val="10"/>
        </w:numPr>
        <w:spacing w:line="276" w:lineRule="auto"/>
        <w:rPr>
          <w:rFonts w:ascii="Times New Roman" w:eastAsia="Times New Roman" w:hAnsi="Times New Roman" w:cs="Times New Roman"/>
        </w:rPr>
      </w:pPr>
      <w:r>
        <w:rPr>
          <w:rFonts w:ascii="Times New Roman" w:eastAsia="Times New Roman" w:hAnsi="Times New Roman" w:cs="Times New Roman"/>
        </w:rPr>
        <w:t>küllaltki suur suvilaomanike või mitme elukohaga inimeste hulk;</w:t>
      </w:r>
    </w:p>
    <w:p w14:paraId="00324BF0" w14:textId="77777777" w:rsidR="008312AA" w:rsidRDefault="00000000">
      <w:pPr>
        <w:pStyle w:val="Loendilik"/>
        <w:numPr>
          <w:ilvl w:val="0"/>
          <w:numId w:val="10"/>
        </w:numPr>
        <w:spacing w:line="276" w:lineRule="auto"/>
        <w:rPr>
          <w:rFonts w:ascii="Times New Roman" w:eastAsia="Times New Roman" w:hAnsi="Times New Roman" w:cs="Times New Roman"/>
        </w:rPr>
      </w:pPr>
      <w:r>
        <w:rPr>
          <w:rFonts w:ascii="Times New Roman" w:eastAsia="Times New Roman" w:hAnsi="Times New Roman" w:cs="Times New Roman"/>
        </w:rPr>
        <w:t>küllaltki suur omavalitsust oma maksudega toetada soovivate kuid füüsiliselt mujal elavate inimeste osakaal;</w:t>
      </w:r>
    </w:p>
    <w:p w14:paraId="2497E638" w14:textId="77777777" w:rsidR="008312AA" w:rsidRDefault="00000000">
      <w:pPr>
        <w:pStyle w:val="Loendilik"/>
        <w:numPr>
          <w:ilvl w:val="0"/>
          <w:numId w:val="10"/>
        </w:numPr>
        <w:spacing w:line="276" w:lineRule="auto"/>
        <w:rPr>
          <w:rFonts w:ascii="Times New Roman" w:eastAsia="Times New Roman" w:hAnsi="Times New Roman" w:cs="Times New Roman"/>
        </w:rPr>
      </w:pPr>
      <w:r>
        <w:rPr>
          <w:rFonts w:ascii="Times New Roman" w:eastAsia="Times New Roman" w:hAnsi="Times New Roman" w:cs="Times New Roman"/>
        </w:rPr>
        <w:t>praamisoodustus püsielanikele, mille saamiseks kirjutatakse end tihti sisse isegi juhul, kui enamik aega elatakse tegelikult mujal.</w:t>
      </w:r>
    </w:p>
    <w:p w14:paraId="7267B661" w14:textId="216C95C1"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2021. a rahvaloenduse ja rahvastikuregistri andmed erinesid rahvaarvu osas näiteks Saaremaa vallal 4,5%, Muhu vallal 14% ja Ruhnu vallal koguni 36% võrra. Seetõttu ei pruugi kõik </w:t>
      </w:r>
      <w:r>
        <w:rPr>
          <w:rFonts w:ascii="Times New Roman" w:eastAsia="Times New Roman" w:hAnsi="Times New Roman" w:cs="Times New Roman"/>
        </w:rPr>
        <w:lastRenderedPageBreak/>
        <w:t xml:space="preserve">rahvastikuprotsessid Saare maakonna andmestikus selgelt ilmneda. </w:t>
      </w:r>
      <w:r w:rsidR="00105B68">
        <w:rPr>
          <w:rFonts w:ascii="Times New Roman" w:eastAsia="Times New Roman" w:hAnsi="Times New Roman" w:cs="Times New Roman"/>
        </w:rPr>
        <w:t xml:space="preserve">2011-2021 aastatel on </w:t>
      </w:r>
      <w:r>
        <w:rPr>
          <w:rFonts w:ascii="Times New Roman" w:eastAsia="Times New Roman" w:hAnsi="Times New Roman" w:cs="Times New Roman"/>
        </w:rPr>
        <w:t xml:space="preserve"> Saare maakonna rahvaarv sisuliselt püsinud stabiilsena. Kahanemine 25 inimese võrra 31 292ni ei ole märkimisväärne, pigem on see Eesti mõistes hea tulemus.</w:t>
      </w:r>
      <w:r>
        <w:rPr>
          <w:rStyle w:val="Allmrkuseviide"/>
          <w:rFonts w:ascii="Times New Roman" w:eastAsia="Times New Roman" w:hAnsi="Times New Roman" w:cs="Times New Roman"/>
        </w:rPr>
        <w:footnoteReference w:id="17"/>
      </w:r>
    </w:p>
    <w:p w14:paraId="0FCC8CC5" w14:textId="77777777" w:rsidR="008312AA" w:rsidRDefault="00000000" w:rsidP="002A649F">
      <w:pPr>
        <w:spacing w:line="276" w:lineRule="auto"/>
        <w:jc w:val="center"/>
        <w:rPr>
          <w:rFonts w:ascii="Times New Roman" w:eastAsia="Times New Roman" w:hAnsi="Times New Roman" w:cs="Times New Roman"/>
        </w:rPr>
      </w:pPr>
      <w:r>
        <w:rPr>
          <w:noProof/>
        </w:rPr>
        <w:drawing>
          <wp:inline distT="0" distB="0" distL="0" distR="0" wp14:anchorId="3C7DC8B0" wp14:editId="4088D437">
            <wp:extent cx="6226810" cy="3263265"/>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pic:cNvPicPr>
                      <a:picLocks noChangeAspect="1" noChangeArrowheads="1"/>
                    </pic:cNvPicPr>
                  </pic:nvPicPr>
                  <pic:blipFill>
                    <a:blip r:embed="rId12"/>
                    <a:stretch>
                      <a:fillRect/>
                    </a:stretch>
                  </pic:blipFill>
                  <pic:spPr bwMode="auto">
                    <a:xfrm>
                      <a:off x="0" y="0"/>
                      <a:ext cx="6226810" cy="3263265"/>
                    </a:xfrm>
                    <a:prstGeom prst="rect">
                      <a:avLst/>
                    </a:prstGeom>
                  </pic:spPr>
                </pic:pic>
              </a:graphicData>
            </a:graphic>
          </wp:inline>
        </w:drawing>
      </w:r>
    </w:p>
    <w:p w14:paraId="354119D7"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Joonis 3: Rahvaarvu muutus Eesti maakondades 2011 vs 2021 (Rahva ja eluruumide loendused)</w:t>
      </w:r>
      <w:r>
        <w:rPr>
          <w:rStyle w:val="Allmrkuseviide"/>
          <w:rFonts w:ascii="Times New Roman" w:eastAsia="Times New Roman" w:hAnsi="Times New Roman" w:cs="Times New Roman"/>
          <w:i/>
          <w:iCs/>
        </w:rPr>
        <w:footnoteReference w:id="18"/>
      </w:r>
    </w:p>
    <w:p w14:paraId="1D89106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Eesti elanike oodatav eluiga on suhteliselt kiiresti kasvanud juba mitukümmend aastat. 2020. aasta andmetel oli Eesti meeste oodatav eluiga 74,4 ja naistel 82,8 ning Saaremaa on selles osas sarnane Eesti keskmisega. Positiivse trendina on tõusnud Saare maakonna elanike tervena elatud aastate pikkus: kui 2009/2010. a oli see veel 55,26 aastat ja alla Eesti keskmise, siis kümne aastaga on see kasvanud 58,09 aastani ning kerkinud maakondade arvestuses 5. kohale (TAI TE753).</w:t>
      </w:r>
    </w:p>
    <w:p w14:paraId="2E46AA8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elanikud on oma eluga üldiselt rahul, eriti Muhus. Siin on turvaline olla, kogukonnad hoiavad üksteist ning kes soovib, see reeglina ka huvipärase töö leiab. Negatiivse poole pealt paistab silma, et Saare maakonna 1. klassi lapsed on Eesti kõige ülekaalulisemad: see on väga ohtlik tervise- ja heaolurisk tulevikku silmas pidades. Samuti võib öelda, et Saare maakonna naiste tervisekäitumuslikud näitajad on pigem üle, meeste omad aga alla Eesti keskmise.</w:t>
      </w:r>
      <w:r>
        <w:rPr>
          <w:rStyle w:val="Allmrkuseviide"/>
          <w:rFonts w:ascii="Times New Roman" w:eastAsia="Times New Roman" w:hAnsi="Times New Roman" w:cs="Times New Roman"/>
        </w:rPr>
        <w:footnoteReference w:id="19"/>
      </w:r>
    </w:p>
    <w:p w14:paraId="680849CA" w14:textId="77777777" w:rsidR="008312AA" w:rsidRPr="00C313E2" w:rsidRDefault="008312AA">
      <w:pPr>
        <w:spacing w:line="276" w:lineRule="auto"/>
        <w:rPr>
          <w:rFonts w:ascii="Times New Roman" w:eastAsia="Times New Roman" w:hAnsi="Times New Roman" w:cs="Times New Roman"/>
          <w:color w:val="0E5C04"/>
        </w:rPr>
      </w:pPr>
    </w:p>
    <w:p w14:paraId="2103C14C" w14:textId="77777777" w:rsidR="008312AA" w:rsidRPr="00C313E2" w:rsidRDefault="00000000" w:rsidP="00541032">
      <w:pPr>
        <w:pStyle w:val="Pealkiri3"/>
        <w:spacing w:line="276" w:lineRule="auto"/>
        <w:ind w:left="0" w:firstLine="0"/>
        <w:jc w:val="left"/>
        <w:rPr>
          <w:rFonts w:ascii="Times New Roman" w:eastAsia="Times New Roman" w:hAnsi="Times New Roman" w:cs="Times New Roman"/>
          <w:color w:val="0E5C04"/>
        </w:rPr>
      </w:pPr>
      <w:bookmarkStart w:id="9" w:name="_Toc157420928"/>
      <w:r w:rsidRPr="00C313E2">
        <w:rPr>
          <w:rFonts w:ascii="Times New Roman" w:eastAsia="Times New Roman" w:hAnsi="Times New Roman" w:cs="Times New Roman"/>
          <w:color w:val="0E5C04"/>
        </w:rPr>
        <w:t>1.1.2. Tööhõive</w:t>
      </w:r>
      <w:bookmarkEnd w:id="9"/>
    </w:p>
    <w:p w14:paraId="281B3E3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Statistikaameti andmetel oli Saare maakonnas 2023. a 01. jaanuari seisuga 23 445 tööealist elanikku (vanuses 15 -74). 2023. a I kvartalis  oli Saare maakonna tööealisest elanikkonnast </w:t>
      </w:r>
      <w:r>
        <w:rPr>
          <w:rFonts w:ascii="Times New Roman" w:eastAsia="Times New Roman" w:hAnsi="Times New Roman" w:cs="Times New Roman"/>
        </w:rPr>
        <w:lastRenderedPageBreak/>
        <w:t>tööga hõivatud 11 255 inimest (4899 meest ja 6356 naist). Sama allika andmetel oli 2022. a Saare maakonna tööealisest rahvastikust tööga hõivatud 70,5 %, mis on kõrgem kui Eesti tööhõive määr, mis oli samal aastal 69,2 %</w:t>
      </w:r>
      <w:r>
        <w:rPr>
          <w:rStyle w:val="Allmrkuseviide"/>
          <w:rFonts w:ascii="Times New Roman" w:eastAsia="Times New Roman" w:hAnsi="Times New Roman" w:cs="Times New Roman"/>
        </w:rPr>
        <w:footnoteReference w:id="20"/>
      </w:r>
      <w:r>
        <w:rPr>
          <w:rFonts w:ascii="Times New Roman" w:eastAsia="Times New Roman" w:hAnsi="Times New Roman" w:cs="Times New Roman"/>
        </w:rPr>
        <w:t xml:space="preserve">. Kalandussektoris töötab täistööajaga u 2,5% tööealisest elanikkonnast. </w:t>
      </w:r>
      <w:r>
        <w:rPr>
          <w:rStyle w:val="Allmrkuseviide"/>
          <w:rFonts w:ascii="Times New Roman" w:eastAsia="Times New Roman" w:hAnsi="Times New Roman" w:cs="Times New Roman"/>
        </w:rPr>
        <w:footnoteReference w:id="21"/>
      </w:r>
    </w:p>
    <w:p w14:paraId="382E103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Statistikaameti palgarakendus näitab, et Saare maakonna täistööajaga töötajate 2023. a I kvartali ühe kuu keskmine töötasu oli 1316 €, kusjuures mehed teenisid keskmiselt 130 € kuus rohkem kui naised. Kogu Eesti keskmine töötasu samal ajal oli 1741 € (mediaantöötasu Saare maakonnas oli 1150 €, kogu Eesti mediaantöötasu 1424 €). Samale allikale tuginedes võib öelda, et aastate 2016 - 2022 on Saare maakonnas täistööajaga töötajate brutopalk Eesti keskmisest umbes 400 € võrra väiksem, kasvades küll vähehaaval aga jäädes ikkagi alla Eesti keskmise.</w:t>
      </w:r>
    </w:p>
    <w:p w14:paraId="5A308763" w14:textId="77777777" w:rsidR="008312AA" w:rsidRDefault="00000000">
      <w:pPr>
        <w:spacing w:before="120" w:line="276" w:lineRule="auto"/>
        <w:rPr>
          <w:rFonts w:ascii="Times New Roman" w:eastAsia="Times New Roman" w:hAnsi="Times New Roman" w:cs="Times New Roman"/>
        </w:rPr>
      </w:pPr>
      <w:r>
        <w:rPr>
          <w:rFonts w:ascii="Times New Roman" w:eastAsia="Times New Roman" w:hAnsi="Times New Roman" w:cs="Times New Roman"/>
        </w:rPr>
        <w:t>Saare maakonna kalandusvaldkonnas täistööajaga töötavate inimeste keskmist palka täpselt välja tuua on raske, kuna ametlik statistika on esitatud koos põllumajandusvaldkonna näitajatega. Esitatud andmetest lähtudes võib öelda, et kalandusvaldkonna töötajate keskmine töötasu jääb tublisti alla Eesti keskmist, varieerudes vahemikus 971 - 1181 €</w:t>
      </w:r>
      <w:r>
        <w:rPr>
          <w:rStyle w:val="Allmrkuseviide"/>
          <w:rFonts w:ascii="Times New Roman" w:eastAsia="Times New Roman" w:hAnsi="Times New Roman" w:cs="Times New Roman"/>
        </w:rPr>
        <w:footnoteReference w:id="22"/>
      </w:r>
      <w:r>
        <w:rPr>
          <w:rFonts w:ascii="Times New Roman" w:eastAsia="Times New Roman" w:hAnsi="Times New Roman" w:cs="Times New Roman"/>
        </w:rPr>
        <w:t>.</w:t>
      </w:r>
    </w:p>
    <w:p w14:paraId="12C6BB6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Tööalane pendelränne maalt Kuressaarde on intensiivistunud ja ulatub ka kaugeimate äärealadeni. Üleriigilise planeeringu 2030+ analüüsis on välja toodud, et Saare maakonnas on tekkinud uued töövormid, nt kaugtöö; aina rohkem töötajaid osaleb igapäevases tööalases pendelrändes linna ja maa vahel ehk, siis Saare maakonna mõistes ka saarte ja Mandri-Eesti vahel</w:t>
      </w:r>
      <w:r>
        <w:rPr>
          <w:rStyle w:val="Allmrkuseviide"/>
          <w:rFonts w:ascii="Times New Roman" w:eastAsia="Times New Roman" w:hAnsi="Times New Roman" w:cs="Times New Roman"/>
        </w:rPr>
        <w:footnoteReference w:id="23"/>
      </w:r>
      <w:r>
        <w:rPr>
          <w:rFonts w:ascii="Times New Roman" w:eastAsia="Times New Roman" w:hAnsi="Times New Roman" w:cs="Times New Roman"/>
        </w:rPr>
        <w:t xml:space="preserve">. Pikki aastaid kestnud väljaränne ning </w:t>
      </w:r>
      <w:proofErr w:type="spellStart"/>
      <w:r>
        <w:rPr>
          <w:rFonts w:ascii="Times New Roman" w:eastAsia="Times New Roman" w:hAnsi="Times New Roman" w:cs="Times New Roman"/>
        </w:rPr>
        <w:t>ulgutööl</w:t>
      </w:r>
      <w:proofErr w:type="spellEnd"/>
      <w:r>
        <w:rPr>
          <w:rFonts w:ascii="Times New Roman" w:eastAsia="Times New Roman" w:hAnsi="Times New Roman" w:cs="Times New Roman"/>
        </w:rPr>
        <w:t xml:space="preserve"> käimine viitavad sellele, et Saare maakonna töökohtade valik pole kvalifitseeritud inimeste jaoks piisavalt atraktiivne, mis omakorda tekitab tööjõupuuduse maakonnas.</w:t>
      </w:r>
    </w:p>
    <w:p w14:paraId="6D104179" w14:textId="77777777"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rPr>
        <w:t>Saare maakonna ettevõtluskeskkonna ja selle arendamisvõimaluste analüüsis on maakonna tööjõu ja palkade osa kokku võetud järgnevalt:</w:t>
      </w:r>
    </w:p>
    <w:p w14:paraId="23AC9DBE" w14:textId="77777777"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i/>
        </w:rPr>
        <w:t>“Lähiaastatel jätkuvad või süvenevad trendid nii Eestis aga ka Saare maakonnas:</w:t>
      </w:r>
    </w:p>
    <w:p w14:paraId="302C5352" w14:textId="77777777" w:rsidR="008312AA" w:rsidRDefault="00000000">
      <w:pPr>
        <w:pStyle w:val="Loendilik"/>
        <w:numPr>
          <w:ilvl w:val="0"/>
          <w:numId w:val="11"/>
        </w:numPr>
        <w:spacing w:line="276" w:lineRule="auto"/>
        <w:rPr>
          <w:rFonts w:ascii="Times New Roman" w:eastAsia="Times New Roman" w:hAnsi="Times New Roman" w:cs="Times New Roman"/>
          <w:i/>
        </w:rPr>
      </w:pPr>
      <w:r>
        <w:rPr>
          <w:rFonts w:ascii="Times New Roman" w:eastAsia="Times New Roman" w:hAnsi="Times New Roman" w:cs="Times New Roman"/>
          <w:i/>
        </w:rPr>
        <w:t>tööealise elanikkonna arvu järsk langus, tööjõuturule siseneb igal aastal 30% vähem tööikka jõudnuid;</w:t>
      </w:r>
    </w:p>
    <w:p w14:paraId="2F854DB4" w14:textId="77777777" w:rsidR="008312AA" w:rsidRDefault="00000000">
      <w:pPr>
        <w:pStyle w:val="Loendilik"/>
        <w:numPr>
          <w:ilvl w:val="0"/>
          <w:numId w:val="11"/>
        </w:numPr>
        <w:spacing w:line="276" w:lineRule="auto"/>
        <w:rPr>
          <w:rFonts w:ascii="Times New Roman" w:eastAsia="Times New Roman" w:hAnsi="Times New Roman" w:cs="Times New Roman"/>
          <w:i/>
        </w:rPr>
      </w:pPr>
      <w:r>
        <w:rPr>
          <w:rFonts w:ascii="Times New Roman" w:eastAsia="Times New Roman" w:hAnsi="Times New Roman" w:cs="Times New Roman"/>
          <w:i/>
        </w:rPr>
        <w:t>kvalifitseeritud tööjõule on atraktiivsem mandri või välismaa kõrgem palgatase ja kvalifikatsioonile vastav töö;</w:t>
      </w:r>
    </w:p>
    <w:p w14:paraId="2802AEDC" w14:textId="77777777" w:rsidR="008312AA" w:rsidRDefault="00000000">
      <w:pPr>
        <w:pStyle w:val="Loendilik"/>
        <w:numPr>
          <w:ilvl w:val="0"/>
          <w:numId w:val="11"/>
        </w:numPr>
        <w:spacing w:line="276" w:lineRule="auto"/>
        <w:rPr>
          <w:rFonts w:ascii="Times New Roman" w:eastAsia="Times New Roman" w:hAnsi="Times New Roman" w:cs="Times New Roman"/>
          <w:i/>
        </w:rPr>
      </w:pPr>
      <w:r>
        <w:rPr>
          <w:rFonts w:ascii="Times New Roman" w:eastAsia="Times New Roman" w:hAnsi="Times New Roman" w:cs="Times New Roman"/>
          <w:i/>
        </w:rPr>
        <w:t>madal kolmanda taseme hariduse osakaal Saare maakonna tööjõulise elanikkonna hulgas.”</w:t>
      </w:r>
    </w:p>
    <w:p w14:paraId="09FAF7CE" w14:textId="77777777" w:rsidR="008312AA" w:rsidRDefault="008312AA">
      <w:pPr>
        <w:spacing w:line="276" w:lineRule="auto"/>
        <w:rPr>
          <w:rFonts w:ascii="Times New Roman" w:eastAsia="Times New Roman" w:hAnsi="Times New Roman" w:cs="Times New Roman"/>
        </w:rPr>
      </w:pPr>
    </w:p>
    <w:p w14:paraId="7C01510E" w14:textId="77777777"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10" w:name="_Toc157420929"/>
      <w:r w:rsidRPr="00C313E2">
        <w:rPr>
          <w:rFonts w:ascii="Times New Roman" w:hAnsi="Times New Roman" w:cs="Times New Roman"/>
          <w:color w:val="0E5C04"/>
        </w:rPr>
        <w:t>1.1.3. Ettevõtluskeskkond</w:t>
      </w:r>
      <w:bookmarkEnd w:id="10"/>
    </w:p>
    <w:p w14:paraId="598F814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ettevõtluskeskkonna ja innovatsiooni võimaluste hetkeolukorda on põhjalikult käsitletud 2019. a koostatud Saare maakonna ettevõtluskeskkonna ja selle arendamisvõimaluste </w:t>
      </w:r>
      <w:r>
        <w:rPr>
          <w:rFonts w:ascii="Times New Roman" w:eastAsia="Times New Roman" w:hAnsi="Times New Roman" w:cs="Times New Roman"/>
        </w:rPr>
        <w:lastRenderedPageBreak/>
        <w:t>analüüsis ja ka samal aastal läbi viidud Saare maakonna ettevõtjate rahulolu uuringus. Samuti annab põhjaliku ülevaate piirkonna ettevõtluskeskkonnast Saare maakonna arengustrateegia 2022-2035.</w:t>
      </w:r>
    </w:p>
    <w:p w14:paraId="715EFF3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EMTA andmetel oli Saare maakonnas 2023. a juunis 2083 tegutsevat ettevõtet neist töötajatega ettevõtteid 1415 (juriidilisi isikuid kokku maakonnas oli 6680). Kõige rohkem ettevõtteid tegevusvaldkonna järgi oli ehituses (325), hulgi- ja jaekaubanduses (324),  kutse-, teadus- ja tehnikaalases valdkonnas (231) ja töötlevas tööstuses (212), põllumajanduse, metsamajanduse ja kalapüügi valdkonnas (208). Nende valdkondade ettevõtted on ka piirkonna suuremad tööandjad.</w:t>
      </w:r>
      <w:r>
        <w:rPr>
          <w:rStyle w:val="Allmrkuseviide"/>
          <w:rFonts w:ascii="Times New Roman" w:eastAsia="Times New Roman" w:hAnsi="Times New Roman" w:cs="Times New Roman"/>
        </w:rPr>
        <w:footnoteReference w:id="24"/>
      </w:r>
    </w:p>
    <w:p w14:paraId="6471E84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Statistikaameti andmetel (2022. a) on sarnaselt kogu Eestile ka Saare maakonnas kõige rohkem vähema kui 10. töötajaga ettevõtteid, moodustades 95,5% kogu ettevõtete arvust (kogu Eesti sama perioodi näit 94,7 %, Hiiumaa 97,3 %, Lääne maakond 94,0 %).</w:t>
      </w:r>
      <w:r>
        <w:rPr>
          <w:rStyle w:val="Allmrkuseviide"/>
          <w:rFonts w:ascii="Times New Roman" w:eastAsia="Times New Roman" w:hAnsi="Times New Roman" w:cs="Times New Roman"/>
        </w:rPr>
        <w:footnoteReference w:id="25"/>
      </w:r>
    </w:p>
    <w:p w14:paraId="00E9AD9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ettevõtluskeskkonna üheks probleemiks on kvalifitseeritud tööjõu puudus, seda eriti oskustööliste osas.</w:t>
      </w:r>
    </w:p>
    <w:p w14:paraId="1FB6192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Arenguseire Keskuses valmis 2018. a aruanne “Tööturg 2035. Tööturu tulevikusuunad ja stsenaariumid”, mis sisaldab Eesti tööturu peamisi väljakutseid ja arenguperspektiive globaalsete ja tärkavate trendide taustal aastani 2035. Arenguseire Keskuse poolt 2018. aastal läbi viidud uuringu järgi väheneb tööealiste elanike arv Eestis isegi rändevoogude tasakaalu ja mõõduka </w:t>
      </w:r>
      <w:proofErr w:type="spellStart"/>
      <w:r>
        <w:rPr>
          <w:rFonts w:ascii="Times New Roman" w:eastAsia="Times New Roman" w:hAnsi="Times New Roman" w:cs="Times New Roman"/>
        </w:rPr>
        <w:t>sündivuse</w:t>
      </w:r>
      <w:proofErr w:type="spellEnd"/>
      <w:r>
        <w:rPr>
          <w:rFonts w:ascii="Times New Roman" w:eastAsia="Times New Roman" w:hAnsi="Times New Roman" w:cs="Times New Roman"/>
        </w:rPr>
        <w:t xml:space="preserve"> tõusu stsenaariumi puhul aastaks 2035 130 000 inimese võrra.</w:t>
      </w:r>
      <w:r>
        <w:rPr>
          <w:rStyle w:val="Allmrkuseviide"/>
          <w:rFonts w:ascii="Times New Roman" w:eastAsia="Times New Roman" w:hAnsi="Times New Roman" w:cs="Times New Roman"/>
        </w:rPr>
        <w:footnoteReference w:id="26"/>
      </w:r>
      <w:r>
        <w:rPr>
          <w:rFonts w:ascii="Times New Roman" w:eastAsia="Times New Roman" w:hAnsi="Times New Roman" w:cs="Times New Roman"/>
        </w:rPr>
        <w:t xml:space="preserve"> Sellega on kaasnenud viimase aasta- kahe jooksul Eesti tööjõuturul olulise trendi algus – odava </w:t>
      </w:r>
      <w:proofErr w:type="spellStart"/>
      <w:r>
        <w:rPr>
          <w:rFonts w:ascii="Times New Roman" w:eastAsia="Times New Roman" w:hAnsi="Times New Roman" w:cs="Times New Roman"/>
        </w:rPr>
        <w:t>välistööjõu</w:t>
      </w:r>
      <w:proofErr w:type="spellEnd"/>
      <w:r>
        <w:rPr>
          <w:rFonts w:ascii="Times New Roman" w:eastAsia="Times New Roman" w:hAnsi="Times New Roman" w:cs="Times New Roman"/>
        </w:rPr>
        <w:t xml:space="preserve"> kaasamine.  </w:t>
      </w:r>
      <w:proofErr w:type="spellStart"/>
      <w:r>
        <w:rPr>
          <w:rFonts w:ascii="Times New Roman" w:eastAsia="Times New Roman" w:hAnsi="Times New Roman" w:cs="Times New Roman"/>
        </w:rPr>
        <w:t>Välistööjõud</w:t>
      </w:r>
      <w:proofErr w:type="spellEnd"/>
      <w:r>
        <w:rPr>
          <w:rFonts w:ascii="Times New Roman" w:eastAsia="Times New Roman" w:hAnsi="Times New Roman" w:cs="Times New Roman"/>
        </w:rPr>
        <w:t xml:space="preserve"> on üha sagedasem nähtus ka Saare maakonna mitmetes ettevõtetes. Oma panuse sellele andis kindlasti Venemaa ja Ukraina vahelise sõja tõttu saabunud Ukraina pagulased. Statistikaameti 30. 06. 2023. a seisu andmetel on Saare maakonnas tööga hõivatud 324 ukrainlast, mis moodustab 2,7 % piirkonna tööga hõivatusest.</w:t>
      </w:r>
      <w:r>
        <w:rPr>
          <w:rStyle w:val="Allmrkuseviide"/>
          <w:rFonts w:ascii="Times New Roman" w:eastAsia="Times New Roman" w:hAnsi="Times New Roman" w:cs="Times New Roman"/>
        </w:rPr>
        <w:footnoteReference w:id="27"/>
      </w:r>
    </w:p>
    <w:p w14:paraId="27EEF09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ettevõtjate rahulolu uuringus on välja toodud, et vajaliku tööjõu olemasolu ja selle leidmise võimaluste osas esineb rohkelt rahulolematust eelkõige seetõttu, et kohapealt ei ole vajalikku tööjõudu, kas üldse võimalik leida või on puudus just kvalifitseeritud tööjõust</w:t>
      </w:r>
      <w:r>
        <w:rPr>
          <w:rStyle w:val="Allmrkuseviide"/>
          <w:rFonts w:ascii="Times New Roman" w:eastAsia="Times New Roman" w:hAnsi="Times New Roman" w:cs="Times New Roman"/>
        </w:rPr>
        <w:footnoteReference w:id="28"/>
      </w:r>
      <w:r>
        <w:rPr>
          <w:rFonts w:ascii="Times New Roman" w:eastAsia="Times New Roman" w:hAnsi="Times New Roman" w:cs="Times New Roman"/>
        </w:rPr>
        <w:t>.</w:t>
      </w:r>
    </w:p>
    <w:p w14:paraId="148FA70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 ettevõtluskeskkonna ja selle arendamise võimaluste analüüsist nähtub, et Saare maakonna majandust veavad tugevad töötleva tööstuse sektorid nagu toiduainete tootmine (sh kalatöötlemisega tegelevad ettevõtted AS </w:t>
      </w:r>
      <w:proofErr w:type="spellStart"/>
      <w:r>
        <w:rPr>
          <w:rFonts w:ascii="Times New Roman" w:eastAsia="Times New Roman" w:hAnsi="Times New Roman" w:cs="Times New Roman"/>
        </w:rPr>
        <w:t>Läätsa</w:t>
      </w:r>
      <w:proofErr w:type="spellEnd"/>
      <w:r>
        <w:rPr>
          <w:rFonts w:ascii="Times New Roman" w:eastAsia="Times New Roman" w:hAnsi="Times New Roman" w:cs="Times New Roman"/>
        </w:rPr>
        <w:t xml:space="preserve"> Kalatööstus ja OÜ Saare Kala Tootmine), metallitoodete ja transpordivahendite tootmine, arvutite ja elektroonikaseadmete tootmine, kummi- ja plastitoodete tootmine. Lisaks tootmisele on tugevatel positsioonidel kaubandus, turism ja majutus, põllumajandus ja ehitussektor, kasvamas on ka puidutööstus ja metsamajanduse sektor. Samast analüüsist nähtub, et kalapüügi ja vesiviljeluse sektor on Saare maakonnas analoogselt põllumajandusele kaotanud viimasel kahel kümnendil suuresti oma </w:t>
      </w:r>
      <w:r>
        <w:rPr>
          <w:rFonts w:ascii="Times New Roman" w:eastAsia="Times New Roman" w:hAnsi="Times New Roman" w:cs="Times New Roman"/>
        </w:rPr>
        <w:lastRenderedPageBreak/>
        <w:t>olulisusest. Samas on see sektor siiski eraldi välja toodud, kuna selles valdkonnas nähakse pikas perspektiivis olulist kasvupotentsiaali.</w:t>
      </w:r>
    </w:p>
    <w:p w14:paraId="6607B08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Kalandusvaldkonna suurimateks tööandjateks on Osaühing Kaabeltau, Osaühing </w:t>
      </w:r>
      <w:proofErr w:type="spellStart"/>
      <w:r>
        <w:rPr>
          <w:rFonts w:ascii="Times New Roman" w:eastAsia="Times New Roman" w:hAnsi="Times New Roman" w:cs="Times New Roman"/>
        </w:rPr>
        <w:t>Monistico</w:t>
      </w:r>
      <w:proofErr w:type="spellEnd"/>
      <w:r>
        <w:rPr>
          <w:rFonts w:ascii="Times New Roman" w:eastAsia="Times New Roman" w:hAnsi="Times New Roman" w:cs="Times New Roman"/>
        </w:rPr>
        <w:t xml:space="preserve"> ning Aktsiaselts Saare Rand</w:t>
      </w:r>
      <w:r>
        <w:rPr>
          <w:rStyle w:val="Allmrkuseviide"/>
          <w:rFonts w:ascii="Times New Roman" w:eastAsia="Times New Roman" w:hAnsi="Times New Roman" w:cs="Times New Roman"/>
        </w:rPr>
        <w:footnoteReference w:id="29"/>
      </w:r>
      <w:r>
        <w:rPr>
          <w:rFonts w:ascii="Times New Roman" w:eastAsia="Times New Roman" w:hAnsi="Times New Roman" w:cs="Times New Roman"/>
        </w:rPr>
        <w:t>.</w:t>
      </w:r>
    </w:p>
    <w:p w14:paraId="500B888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Vaatamata COVID-19 tingitud piirangutele on </w:t>
      </w:r>
      <w:proofErr w:type="spellStart"/>
      <w:r>
        <w:rPr>
          <w:rFonts w:ascii="Times New Roman" w:eastAsia="Times New Roman" w:hAnsi="Times New Roman" w:cs="Times New Roman"/>
        </w:rPr>
        <w:t>kalatöötlemisettevõtete</w:t>
      </w:r>
      <w:proofErr w:type="spellEnd"/>
      <w:r>
        <w:rPr>
          <w:rFonts w:ascii="Times New Roman" w:eastAsia="Times New Roman" w:hAnsi="Times New Roman" w:cs="Times New Roman"/>
        </w:rPr>
        <w:t xml:space="preserve"> netokäive püsinud viimastel aastatel stabiilselt 2,4 miljoni € juures ja töötajate arv on olnud ca 50 töötaja juures.</w:t>
      </w:r>
    </w:p>
    <w:p w14:paraId="6581EA5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majandusüksuste kaupade ekspordinäitajad on olnud viimase seitsme aasta lõikes tõusutrendis (erandiks 2020. a, mil toimus seoses COVID-19 piirangutest tingitud ekspordilangus). Allolevast tabelist nähtub, et kaupade eksport on suurem kui import.</w:t>
      </w:r>
    </w:p>
    <w:p w14:paraId="44085ED4" w14:textId="77777777" w:rsidR="008312AA" w:rsidRDefault="008312AA">
      <w:pPr>
        <w:spacing w:line="276" w:lineRule="auto"/>
        <w:rPr>
          <w:rFonts w:ascii="Times New Roman" w:eastAsia="Times New Roman" w:hAnsi="Times New Roman" w:cs="Times New Roman"/>
        </w:rPr>
      </w:pPr>
    </w:p>
    <w:p w14:paraId="102AC695"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Tabel 1. Kaupade eksport ja import 2016-2022 (allikas: Statistikaamet)</w:t>
      </w:r>
    </w:p>
    <w:tbl>
      <w:tblPr>
        <w:tblW w:w="6510" w:type="dxa"/>
        <w:tblInd w:w="-100" w:type="dxa"/>
        <w:tblLayout w:type="fixed"/>
        <w:tblCellMar>
          <w:top w:w="100" w:type="dxa"/>
          <w:left w:w="100" w:type="dxa"/>
          <w:bottom w:w="100" w:type="dxa"/>
          <w:right w:w="100" w:type="dxa"/>
        </w:tblCellMar>
        <w:tblLook w:val="0600" w:firstRow="0" w:lastRow="0" w:firstColumn="0" w:lastColumn="0" w:noHBand="1" w:noVBand="1"/>
      </w:tblPr>
      <w:tblGrid>
        <w:gridCol w:w="1124"/>
        <w:gridCol w:w="2821"/>
        <w:gridCol w:w="2565"/>
      </w:tblGrid>
      <w:tr w:rsidR="008312AA" w14:paraId="31C67BFB" w14:textId="77777777">
        <w:tc>
          <w:tcPr>
            <w:tcW w:w="1124"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Pr>
          <w:p w14:paraId="5410F441" w14:textId="77777777" w:rsidR="008312AA" w:rsidRDefault="00000000">
            <w:pPr>
              <w:widowControl w:val="0"/>
              <w:spacing w:line="276" w:lineRule="auto"/>
              <w:rPr>
                <w:rFonts w:ascii="Times New Roman" w:eastAsia="Times New Roman" w:hAnsi="Times New Roman" w:cs="Times New Roman"/>
                <w:b/>
                <w:bCs/>
              </w:rPr>
            </w:pPr>
            <w:r>
              <w:rPr>
                <w:rFonts w:ascii="Times New Roman" w:eastAsia="Times New Roman" w:hAnsi="Times New Roman" w:cs="Times New Roman"/>
                <w:b/>
                <w:bCs/>
              </w:rPr>
              <w:t>Aasta</w:t>
            </w:r>
          </w:p>
        </w:tc>
        <w:tc>
          <w:tcPr>
            <w:tcW w:w="2821"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Pr>
          <w:p w14:paraId="29774F4F" w14:textId="77777777" w:rsidR="008312AA" w:rsidRDefault="00000000">
            <w:pPr>
              <w:widowControl w:val="0"/>
              <w:spacing w:line="276" w:lineRule="auto"/>
              <w:rPr>
                <w:rFonts w:ascii="Times New Roman" w:eastAsia="Times New Roman" w:hAnsi="Times New Roman" w:cs="Times New Roman"/>
                <w:b/>
                <w:bCs/>
              </w:rPr>
            </w:pPr>
            <w:r>
              <w:rPr>
                <w:rFonts w:ascii="Times New Roman" w:eastAsia="Times New Roman" w:hAnsi="Times New Roman" w:cs="Times New Roman"/>
                <w:b/>
                <w:bCs/>
              </w:rPr>
              <w:t>Eksport /miljonit €</w:t>
            </w:r>
          </w:p>
        </w:tc>
        <w:tc>
          <w:tcPr>
            <w:tcW w:w="2565"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Pr>
          <w:p w14:paraId="612A608A" w14:textId="77777777" w:rsidR="008312AA" w:rsidRDefault="00000000">
            <w:pPr>
              <w:widowControl w:val="0"/>
              <w:spacing w:line="276" w:lineRule="auto"/>
              <w:rPr>
                <w:rFonts w:ascii="Times New Roman" w:eastAsia="Times New Roman" w:hAnsi="Times New Roman" w:cs="Times New Roman"/>
                <w:b/>
                <w:bCs/>
              </w:rPr>
            </w:pPr>
            <w:r>
              <w:rPr>
                <w:rFonts w:ascii="Times New Roman" w:eastAsia="Times New Roman" w:hAnsi="Times New Roman" w:cs="Times New Roman"/>
                <w:b/>
                <w:bCs/>
              </w:rPr>
              <w:t>Importi/miljonit €</w:t>
            </w:r>
          </w:p>
        </w:tc>
      </w:tr>
      <w:tr w:rsidR="008312AA" w14:paraId="5484FF81" w14:textId="77777777">
        <w:tc>
          <w:tcPr>
            <w:tcW w:w="1124" w:type="dxa"/>
            <w:tcBorders>
              <w:top w:val="single" w:sz="8" w:space="0" w:color="000000"/>
              <w:left w:val="single" w:sz="8" w:space="0" w:color="000000"/>
              <w:bottom w:val="single" w:sz="8" w:space="0" w:color="000000"/>
              <w:right w:val="single" w:sz="8" w:space="0" w:color="000000"/>
            </w:tcBorders>
            <w:shd w:val="clear" w:color="auto" w:fill="auto"/>
          </w:tcPr>
          <w:p w14:paraId="268F0A9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2016</w:t>
            </w:r>
          </w:p>
        </w:tc>
        <w:tc>
          <w:tcPr>
            <w:tcW w:w="2821" w:type="dxa"/>
            <w:tcBorders>
              <w:top w:val="single" w:sz="8" w:space="0" w:color="000000"/>
              <w:left w:val="single" w:sz="8" w:space="0" w:color="000000"/>
              <w:bottom w:val="single" w:sz="8" w:space="0" w:color="000000"/>
              <w:right w:val="single" w:sz="8" w:space="0" w:color="000000"/>
            </w:tcBorders>
            <w:shd w:val="clear" w:color="auto" w:fill="auto"/>
          </w:tcPr>
          <w:p w14:paraId="5896752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159,0</w:t>
            </w:r>
          </w:p>
        </w:tc>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1F1A719B"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90,0</w:t>
            </w:r>
          </w:p>
        </w:tc>
      </w:tr>
      <w:tr w:rsidR="008312AA" w14:paraId="5900EC0A" w14:textId="77777777">
        <w:tc>
          <w:tcPr>
            <w:tcW w:w="1124" w:type="dxa"/>
            <w:tcBorders>
              <w:top w:val="single" w:sz="8" w:space="0" w:color="000000"/>
              <w:left w:val="single" w:sz="8" w:space="0" w:color="000000"/>
              <w:bottom w:val="single" w:sz="8" w:space="0" w:color="000000"/>
              <w:right w:val="single" w:sz="8" w:space="0" w:color="000000"/>
            </w:tcBorders>
            <w:shd w:val="clear" w:color="auto" w:fill="auto"/>
          </w:tcPr>
          <w:p w14:paraId="0D4ADA8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2017</w:t>
            </w:r>
          </w:p>
        </w:tc>
        <w:tc>
          <w:tcPr>
            <w:tcW w:w="2821" w:type="dxa"/>
            <w:tcBorders>
              <w:top w:val="single" w:sz="8" w:space="0" w:color="000000"/>
              <w:left w:val="single" w:sz="8" w:space="0" w:color="000000"/>
              <w:bottom w:val="single" w:sz="8" w:space="0" w:color="000000"/>
              <w:right w:val="single" w:sz="8" w:space="0" w:color="000000"/>
            </w:tcBorders>
            <w:shd w:val="clear" w:color="auto" w:fill="auto"/>
          </w:tcPr>
          <w:p w14:paraId="0BAEE8C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172,0</w:t>
            </w:r>
          </w:p>
        </w:tc>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5025E64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98,0</w:t>
            </w:r>
          </w:p>
        </w:tc>
      </w:tr>
      <w:tr w:rsidR="008312AA" w14:paraId="4F03A219" w14:textId="77777777">
        <w:tc>
          <w:tcPr>
            <w:tcW w:w="1124" w:type="dxa"/>
            <w:tcBorders>
              <w:top w:val="single" w:sz="8" w:space="0" w:color="000000"/>
              <w:left w:val="single" w:sz="8" w:space="0" w:color="000000"/>
              <w:bottom w:val="single" w:sz="8" w:space="0" w:color="000000"/>
              <w:right w:val="single" w:sz="8" w:space="0" w:color="000000"/>
            </w:tcBorders>
            <w:shd w:val="clear" w:color="auto" w:fill="auto"/>
          </w:tcPr>
          <w:p w14:paraId="136C3432"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2018</w:t>
            </w:r>
          </w:p>
        </w:tc>
        <w:tc>
          <w:tcPr>
            <w:tcW w:w="2821" w:type="dxa"/>
            <w:tcBorders>
              <w:top w:val="single" w:sz="8" w:space="0" w:color="000000"/>
              <w:left w:val="single" w:sz="8" w:space="0" w:color="000000"/>
              <w:bottom w:val="single" w:sz="8" w:space="0" w:color="000000"/>
              <w:right w:val="single" w:sz="8" w:space="0" w:color="000000"/>
            </w:tcBorders>
            <w:shd w:val="clear" w:color="auto" w:fill="auto"/>
          </w:tcPr>
          <w:p w14:paraId="391B1F9B"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173,0</w:t>
            </w:r>
          </w:p>
        </w:tc>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6098550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94,0</w:t>
            </w:r>
          </w:p>
        </w:tc>
      </w:tr>
      <w:tr w:rsidR="008312AA" w14:paraId="210939E2" w14:textId="77777777">
        <w:tc>
          <w:tcPr>
            <w:tcW w:w="1124" w:type="dxa"/>
            <w:tcBorders>
              <w:top w:val="single" w:sz="8" w:space="0" w:color="000000"/>
              <w:left w:val="single" w:sz="8" w:space="0" w:color="000000"/>
              <w:bottom w:val="single" w:sz="8" w:space="0" w:color="000000"/>
              <w:right w:val="single" w:sz="8" w:space="0" w:color="000000"/>
            </w:tcBorders>
            <w:shd w:val="clear" w:color="auto" w:fill="auto"/>
          </w:tcPr>
          <w:p w14:paraId="596E72C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2019</w:t>
            </w:r>
          </w:p>
        </w:tc>
        <w:tc>
          <w:tcPr>
            <w:tcW w:w="2821" w:type="dxa"/>
            <w:tcBorders>
              <w:top w:val="single" w:sz="8" w:space="0" w:color="000000"/>
              <w:left w:val="single" w:sz="8" w:space="0" w:color="000000"/>
              <w:bottom w:val="single" w:sz="8" w:space="0" w:color="000000"/>
              <w:right w:val="single" w:sz="8" w:space="0" w:color="000000"/>
            </w:tcBorders>
            <w:shd w:val="clear" w:color="auto" w:fill="auto"/>
          </w:tcPr>
          <w:p w14:paraId="7D35D9A9"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187,0</w:t>
            </w:r>
          </w:p>
        </w:tc>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15EC3064"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85,0</w:t>
            </w:r>
          </w:p>
        </w:tc>
      </w:tr>
      <w:tr w:rsidR="008312AA" w14:paraId="77FACC28" w14:textId="77777777">
        <w:tc>
          <w:tcPr>
            <w:tcW w:w="1124" w:type="dxa"/>
            <w:tcBorders>
              <w:top w:val="single" w:sz="8" w:space="0" w:color="000000"/>
              <w:left w:val="single" w:sz="8" w:space="0" w:color="000000"/>
              <w:bottom w:val="single" w:sz="8" w:space="0" w:color="000000"/>
              <w:right w:val="single" w:sz="8" w:space="0" w:color="000000"/>
            </w:tcBorders>
            <w:shd w:val="clear" w:color="auto" w:fill="auto"/>
          </w:tcPr>
          <w:p w14:paraId="79FE468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2020</w:t>
            </w:r>
          </w:p>
        </w:tc>
        <w:tc>
          <w:tcPr>
            <w:tcW w:w="2821" w:type="dxa"/>
            <w:tcBorders>
              <w:top w:val="single" w:sz="8" w:space="0" w:color="000000"/>
              <w:left w:val="single" w:sz="8" w:space="0" w:color="000000"/>
              <w:bottom w:val="single" w:sz="8" w:space="0" w:color="000000"/>
              <w:right w:val="single" w:sz="8" w:space="0" w:color="000000"/>
            </w:tcBorders>
            <w:shd w:val="clear" w:color="auto" w:fill="auto"/>
          </w:tcPr>
          <w:p w14:paraId="2AE38D92"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161,0</w:t>
            </w:r>
          </w:p>
        </w:tc>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76BAD142"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111,0</w:t>
            </w:r>
          </w:p>
        </w:tc>
      </w:tr>
      <w:tr w:rsidR="008312AA" w14:paraId="3D33834B" w14:textId="77777777">
        <w:tc>
          <w:tcPr>
            <w:tcW w:w="1124" w:type="dxa"/>
            <w:tcBorders>
              <w:top w:val="single" w:sz="8" w:space="0" w:color="000000"/>
              <w:left w:val="single" w:sz="8" w:space="0" w:color="000000"/>
              <w:bottom w:val="single" w:sz="8" w:space="0" w:color="000000"/>
              <w:right w:val="single" w:sz="8" w:space="0" w:color="000000"/>
            </w:tcBorders>
            <w:shd w:val="clear" w:color="auto" w:fill="auto"/>
          </w:tcPr>
          <w:p w14:paraId="6B770C0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2021</w:t>
            </w:r>
          </w:p>
        </w:tc>
        <w:tc>
          <w:tcPr>
            <w:tcW w:w="2821" w:type="dxa"/>
            <w:tcBorders>
              <w:top w:val="single" w:sz="8" w:space="0" w:color="000000"/>
              <w:left w:val="single" w:sz="8" w:space="0" w:color="000000"/>
              <w:bottom w:val="single" w:sz="8" w:space="0" w:color="000000"/>
              <w:right w:val="single" w:sz="8" w:space="0" w:color="000000"/>
            </w:tcBorders>
            <w:shd w:val="clear" w:color="auto" w:fill="auto"/>
          </w:tcPr>
          <w:p w14:paraId="51160964"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211,0</w:t>
            </w:r>
          </w:p>
        </w:tc>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557323D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111,9</w:t>
            </w:r>
          </w:p>
        </w:tc>
      </w:tr>
      <w:tr w:rsidR="008312AA" w14:paraId="317000F6" w14:textId="77777777">
        <w:tc>
          <w:tcPr>
            <w:tcW w:w="1124" w:type="dxa"/>
            <w:tcBorders>
              <w:top w:val="single" w:sz="8" w:space="0" w:color="000000"/>
              <w:left w:val="single" w:sz="8" w:space="0" w:color="000000"/>
              <w:bottom w:val="single" w:sz="8" w:space="0" w:color="000000"/>
              <w:right w:val="single" w:sz="8" w:space="0" w:color="000000"/>
            </w:tcBorders>
            <w:shd w:val="clear" w:color="auto" w:fill="auto"/>
          </w:tcPr>
          <w:p w14:paraId="7C409BF3"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2022</w:t>
            </w:r>
          </w:p>
        </w:tc>
        <w:tc>
          <w:tcPr>
            <w:tcW w:w="2821" w:type="dxa"/>
            <w:tcBorders>
              <w:top w:val="single" w:sz="8" w:space="0" w:color="000000"/>
              <w:left w:val="single" w:sz="8" w:space="0" w:color="000000"/>
              <w:bottom w:val="single" w:sz="8" w:space="0" w:color="000000"/>
              <w:right w:val="single" w:sz="8" w:space="0" w:color="000000"/>
            </w:tcBorders>
            <w:shd w:val="clear" w:color="auto" w:fill="auto"/>
          </w:tcPr>
          <w:p w14:paraId="55ABB2F6"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249,0</w:t>
            </w:r>
          </w:p>
        </w:tc>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36FD609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126,0</w:t>
            </w:r>
          </w:p>
        </w:tc>
      </w:tr>
    </w:tbl>
    <w:p w14:paraId="30E1B15D" w14:textId="77777777" w:rsidR="008312AA" w:rsidRDefault="008312AA">
      <w:pPr>
        <w:spacing w:before="120" w:line="276" w:lineRule="auto"/>
        <w:rPr>
          <w:rFonts w:ascii="Times New Roman" w:eastAsia="Times New Roman" w:hAnsi="Times New Roman" w:cs="Times New Roman"/>
          <w:i/>
        </w:rPr>
      </w:pPr>
    </w:p>
    <w:p w14:paraId="5D5E0803" w14:textId="77777777" w:rsidR="008312AA" w:rsidRDefault="00000000">
      <w:pPr>
        <w:spacing w:before="120" w:line="276" w:lineRule="auto"/>
        <w:rPr>
          <w:rFonts w:ascii="Times New Roman" w:eastAsia="Times New Roman" w:hAnsi="Times New Roman" w:cs="Times New Roman"/>
        </w:rPr>
      </w:pPr>
      <w:r>
        <w:rPr>
          <w:rFonts w:ascii="Times New Roman" w:eastAsia="Times New Roman" w:hAnsi="Times New Roman" w:cs="Times New Roman"/>
        </w:rPr>
        <w:t>2022. a eksportis maakonnast kaupu välja 270 majandusüksust ja 538 majandusüksust importisid kaupu sisse.</w:t>
      </w:r>
    </w:p>
    <w:p w14:paraId="7B664303" w14:textId="77777777" w:rsidR="008312AA" w:rsidRDefault="00000000">
      <w:pPr>
        <w:rPr>
          <w:rFonts w:ascii="Times New Roman" w:hAnsi="Times New Roman" w:cs="Times New Roman"/>
        </w:rPr>
      </w:pPr>
      <w:r>
        <w:rPr>
          <w:rFonts w:ascii="Times New Roman" w:hAnsi="Times New Roman" w:cs="Times New Roman"/>
        </w:rPr>
        <w:t>Vaatamata keerulistele oludele terves maailmas on maakonna ettevõtted suutnud eksporti kasvatada. Kui 2018. aastal moodustas ekspordi osakaal Saare maakonna ettevõtete müügitulust 26,43%, siis 2019. a 26,92% ning 2020. a 28,01%. Suuremate ekspordimahtudega sektorid on toiduainete- ja joogitootmine, metallitoodete ja transpordivahendite tootmine, arvutite, elektroonikaseadmete ja muu tootmine ning keemia-, kummi-, plastitoodete ja mineraalide tootmine. Ekspordi kogumaht püsis 2018-2020. aastatel 706-717 miljoni euro juures.</w:t>
      </w:r>
      <w:r>
        <w:rPr>
          <w:rStyle w:val="Allmrkuseviide"/>
          <w:rFonts w:ascii="Times New Roman" w:hAnsi="Times New Roman" w:cs="Times New Roman"/>
        </w:rPr>
        <w:footnoteReference w:id="30"/>
      </w:r>
    </w:p>
    <w:p w14:paraId="1D25C7D2" w14:textId="77777777" w:rsidR="008312AA" w:rsidRDefault="00000000">
      <w:pPr>
        <w:pStyle w:val="Normaallaadveeb"/>
        <w:spacing w:before="280" w:after="280"/>
      </w:pPr>
      <w:r>
        <w:rPr>
          <w:noProof/>
        </w:rPr>
        <w:lastRenderedPageBreak/>
        <w:drawing>
          <wp:inline distT="0" distB="0" distL="0" distR="0" wp14:anchorId="5C42185F" wp14:editId="6EADDEE8">
            <wp:extent cx="5760720" cy="3766185"/>
            <wp:effectExtent l="0" t="0" r="0" b="0"/>
            <wp:docPr id="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lt 2"/>
                    <pic:cNvPicPr>
                      <a:picLocks noChangeAspect="1" noChangeArrowheads="1"/>
                    </pic:cNvPicPr>
                  </pic:nvPicPr>
                  <pic:blipFill>
                    <a:blip r:embed="rId13"/>
                    <a:stretch>
                      <a:fillRect/>
                    </a:stretch>
                  </pic:blipFill>
                  <pic:spPr bwMode="auto">
                    <a:xfrm>
                      <a:off x="0" y="0"/>
                      <a:ext cx="5760720" cy="3766185"/>
                    </a:xfrm>
                    <a:prstGeom prst="rect">
                      <a:avLst/>
                    </a:prstGeom>
                  </pic:spPr>
                </pic:pic>
              </a:graphicData>
            </a:graphic>
          </wp:inline>
        </w:drawing>
      </w:r>
    </w:p>
    <w:p w14:paraId="4D6F9556" w14:textId="77777777" w:rsidR="008312AA" w:rsidRDefault="00000000">
      <w:pPr>
        <w:rPr>
          <w:rFonts w:ascii="Times New Roman" w:hAnsi="Times New Roman" w:cs="Times New Roman"/>
          <w:i/>
          <w:iCs/>
        </w:rPr>
      </w:pPr>
      <w:r>
        <w:rPr>
          <w:rFonts w:ascii="Times New Roman" w:hAnsi="Times New Roman" w:cs="Times New Roman"/>
          <w:i/>
          <w:iCs/>
        </w:rPr>
        <w:t>Joonis 4: Saare maakonna ettevõtete ekspordi struktuur sektorite kaupa 2020. a (Allikas: Saare maakonna arengustrateegia 2022-2035</w:t>
      </w:r>
    </w:p>
    <w:p w14:paraId="4CC0DA1C" w14:textId="77777777" w:rsidR="008312AA" w:rsidRDefault="008312AA">
      <w:pPr>
        <w:spacing w:line="276" w:lineRule="auto"/>
        <w:rPr>
          <w:rFonts w:ascii="Times New Roman" w:eastAsia="Times New Roman" w:hAnsi="Times New Roman" w:cs="Times New Roman"/>
        </w:rPr>
      </w:pPr>
    </w:p>
    <w:p w14:paraId="1D7C442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2022. a on Saare maakonna ettevõtted on andnud lisandväärtust kokku 457,15 miljoni € (2016. a 299,1 miljoni €, tootmises kasutatud kaupade ja teenuste väärtus on </w:t>
      </w:r>
      <w:proofErr w:type="spellStart"/>
      <w:r>
        <w:rPr>
          <w:rFonts w:ascii="Times New Roman" w:eastAsia="Times New Roman" w:hAnsi="Times New Roman" w:cs="Times New Roman"/>
        </w:rPr>
        <w:t>üldväärtusest</w:t>
      </w:r>
      <w:proofErr w:type="spellEnd"/>
      <w:r>
        <w:rPr>
          <w:rFonts w:ascii="Times New Roman" w:eastAsia="Times New Roman" w:hAnsi="Times New Roman" w:cs="Times New Roman"/>
        </w:rPr>
        <w:t xml:space="preserve"> maha arvatud) väärtuses (sellest erinevad teenused 273,97 miljonit €, tööstus ja ehitus 146,19 miljonit € ja põllumajandus, metsamajandus ning kalapüük 37 miljonit €).</w:t>
      </w:r>
    </w:p>
    <w:p w14:paraId="434F8028" w14:textId="77777777" w:rsidR="008312AA" w:rsidRDefault="008312AA">
      <w:pPr>
        <w:spacing w:line="276" w:lineRule="auto"/>
        <w:rPr>
          <w:rFonts w:ascii="Times New Roman" w:eastAsia="Times New Roman" w:hAnsi="Times New Roman" w:cs="Times New Roman"/>
        </w:rPr>
      </w:pPr>
    </w:p>
    <w:p w14:paraId="5BF45F43"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1F4D67CA" wp14:editId="77936D72">
            <wp:extent cx="5745480" cy="2400300"/>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pic:cNvPicPr>
                      <a:picLocks noChangeAspect="1" noChangeArrowheads="1"/>
                    </pic:cNvPicPr>
                  </pic:nvPicPr>
                  <pic:blipFill>
                    <a:blip r:embed="rId14"/>
                    <a:stretch>
                      <a:fillRect/>
                    </a:stretch>
                  </pic:blipFill>
                  <pic:spPr bwMode="auto">
                    <a:xfrm>
                      <a:off x="0" y="0"/>
                      <a:ext cx="5745480" cy="2400300"/>
                    </a:xfrm>
                    <a:prstGeom prst="rect">
                      <a:avLst/>
                    </a:prstGeom>
                  </pic:spPr>
                </pic:pic>
              </a:graphicData>
            </a:graphic>
          </wp:inline>
        </w:drawing>
      </w:r>
    </w:p>
    <w:p w14:paraId="48F77A49"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Joonis 5: Ettevõtete poolt loodud lisandväärtus tegevusalade järgi 2016 - 2022 (Allikas: Statistikaamet)</w:t>
      </w:r>
    </w:p>
    <w:p w14:paraId="591B206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Saare maakonna majanduselu iseloomustab </w:t>
      </w:r>
      <w:proofErr w:type="spellStart"/>
      <w:r>
        <w:rPr>
          <w:rFonts w:ascii="Times New Roman" w:eastAsia="Times New Roman" w:hAnsi="Times New Roman" w:cs="Times New Roman"/>
        </w:rPr>
        <w:t>laiapõhjalisus</w:t>
      </w:r>
      <w:proofErr w:type="spellEnd"/>
      <w:r>
        <w:rPr>
          <w:rFonts w:ascii="Times New Roman" w:eastAsia="Times New Roman" w:hAnsi="Times New Roman" w:cs="Times New Roman"/>
        </w:rPr>
        <w:t xml:space="preserve">, kuna ükski tegevusala ei domineeri ning nii kogukäive kui ka loodav lisandväärtus jagunevad erinevate sektorite vahel küllatki ühtlaselt. </w:t>
      </w:r>
    </w:p>
    <w:p w14:paraId="00B7001D" w14:textId="77777777" w:rsidR="008312AA" w:rsidRDefault="00000000">
      <w:pPr>
        <w:pStyle w:val="Normaallaadveeb"/>
        <w:spacing w:before="280" w:after="280"/>
      </w:pPr>
      <w:r>
        <w:rPr>
          <w:noProof/>
        </w:rPr>
        <w:drawing>
          <wp:inline distT="0" distB="0" distL="0" distR="0" wp14:anchorId="6DDAB00A" wp14:editId="79A052C2">
            <wp:extent cx="5760720" cy="3550920"/>
            <wp:effectExtent l="0" t="0" r="0" b="0"/>
            <wp:docPr id="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lt 1"/>
                    <pic:cNvPicPr>
                      <a:picLocks noChangeAspect="1" noChangeArrowheads="1"/>
                    </pic:cNvPicPr>
                  </pic:nvPicPr>
                  <pic:blipFill>
                    <a:blip r:embed="rId15"/>
                    <a:stretch>
                      <a:fillRect/>
                    </a:stretch>
                  </pic:blipFill>
                  <pic:spPr bwMode="auto">
                    <a:xfrm>
                      <a:off x="0" y="0"/>
                      <a:ext cx="5760720" cy="3550920"/>
                    </a:xfrm>
                    <a:prstGeom prst="rect">
                      <a:avLst/>
                    </a:prstGeom>
                  </pic:spPr>
                </pic:pic>
              </a:graphicData>
            </a:graphic>
          </wp:inline>
        </w:drawing>
      </w:r>
    </w:p>
    <w:p w14:paraId="078C1335" w14:textId="77777777" w:rsidR="008312AA" w:rsidRDefault="00000000" w:rsidP="00D94AEB">
      <w:pPr>
        <w:spacing w:line="276" w:lineRule="auto"/>
        <w:rPr>
          <w:rFonts w:ascii="Times New Roman" w:eastAsia="Times New Roman" w:hAnsi="Times New Roman" w:cs="Times New Roman"/>
          <w:i/>
          <w:iCs/>
        </w:rPr>
      </w:pPr>
      <w:r>
        <w:rPr>
          <w:rFonts w:ascii="Times New Roman" w:eastAsia="Times New Roman" w:hAnsi="Times New Roman" w:cs="Times New Roman"/>
          <w:i/>
          <w:iCs/>
        </w:rPr>
        <w:t>Joonis 6: Lisandväärtus majandussektorite kaupa Saare maakonnas 2020 (Allikas: Saare maakonna arengustrateegia 2022-2035)</w:t>
      </w:r>
    </w:p>
    <w:p w14:paraId="23C9945A" w14:textId="77777777" w:rsidR="008312AA" w:rsidRDefault="00000000" w:rsidP="00D94AEB">
      <w:pPr>
        <w:spacing w:line="276" w:lineRule="auto"/>
        <w:rPr>
          <w:rFonts w:ascii="Times New Roman" w:hAnsi="Times New Roman" w:cs="Times New Roman"/>
        </w:rPr>
      </w:pPr>
      <w:r>
        <w:rPr>
          <w:rFonts w:ascii="Times New Roman" w:hAnsi="Times New Roman" w:cs="Times New Roman"/>
        </w:rPr>
        <w:t>Ettevõtete põhinäitajate võrdluses troonib käibe, hõive ja sektori lisandväärtuse osas hulgi- ja jaekaubandus, kuid palgatase ning töötaja kohta loodav lisandväärtus on seal pigem madal. Analoogne on olukord ka ehituses ning toiduainete- ja joogitootmises, kuid viimase väärtus seisneb meie maakonna suhtelises toiduturvalisuses. Saarte elanikena peame alati ette mõtlema, mis juhtuks, kui ühendus mandriga katkeks pikemaks ajaks, kuidas saaksime hakkama. Tänu mitmele pagarikojale, liha- ja piimatööstusele, väiketootjatele ning ka veetehasele on loodud eeldused selleks, et me suudame oma elanikud vähemalt mingi aja jooksul elementaarse söögi ja joogiga varustada. Klimaatilised olud ehk mandriga võrreldes pehmemad talved võimaldavad saartel üha julgemalt mõelda ka eksootiliste viljade kasvatamisele, viinamarjadest virsikuteni. Sektor, mis toob läbivalt häid tulemusi kõigi olulisemate näitajate osas, on metallitoodete ja transpordivahendite tootmine.</w:t>
      </w:r>
      <w:r>
        <w:rPr>
          <w:rStyle w:val="Allmrkuseviide"/>
          <w:rFonts w:ascii="Times New Roman" w:hAnsi="Times New Roman" w:cs="Times New Roman"/>
        </w:rPr>
        <w:footnoteReference w:id="31"/>
      </w:r>
    </w:p>
    <w:p w14:paraId="074CF33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 ettevõtjate rahulolu-uuringus on kokkuvõtvalt välja toodud, et  Saare maakonna ettevõtluskeskkonna peamine tugevus  on Saaremaa väiksuse ning kogukond millele järgnes Saaremaa hea kuvand ja </w:t>
      </w:r>
      <w:proofErr w:type="spellStart"/>
      <w:r>
        <w:rPr>
          <w:rFonts w:ascii="Times New Roman" w:eastAsia="Times New Roman" w:hAnsi="Times New Roman" w:cs="Times New Roman"/>
        </w:rPr>
        <w:t>saareline</w:t>
      </w:r>
      <w:proofErr w:type="spellEnd"/>
      <w:r>
        <w:rPr>
          <w:rFonts w:ascii="Times New Roman" w:eastAsia="Times New Roman" w:hAnsi="Times New Roman" w:cs="Times New Roman"/>
        </w:rPr>
        <w:t xml:space="preserve"> eripära. Väikese kogukonna puhul nähti positiivsena suuremat kokkuhoidmist ning </w:t>
      </w:r>
      <w:proofErr w:type="spellStart"/>
      <w:r>
        <w:rPr>
          <w:rFonts w:ascii="Times New Roman" w:eastAsia="Times New Roman" w:hAnsi="Times New Roman" w:cs="Times New Roman"/>
        </w:rPr>
        <w:t>kogukondlikke</w:t>
      </w:r>
      <w:proofErr w:type="spellEnd"/>
      <w:r>
        <w:rPr>
          <w:rFonts w:ascii="Times New Roman" w:eastAsia="Times New Roman" w:hAnsi="Times New Roman" w:cs="Times New Roman"/>
        </w:rPr>
        <w:t xml:space="preserve"> suhteid kui olulist kontaktivõrgustikku nii eraelus </w:t>
      </w:r>
      <w:r>
        <w:rPr>
          <w:rFonts w:ascii="Times New Roman" w:eastAsia="Times New Roman" w:hAnsi="Times New Roman" w:cs="Times New Roman"/>
        </w:rPr>
        <w:lastRenderedPageBreak/>
        <w:t xml:space="preserve">kui ka ettevõtluses. </w:t>
      </w:r>
      <w:proofErr w:type="spellStart"/>
      <w:r>
        <w:rPr>
          <w:rFonts w:ascii="Times New Roman" w:eastAsia="Times New Roman" w:hAnsi="Times New Roman" w:cs="Times New Roman"/>
        </w:rPr>
        <w:t>Saareline</w:t>
      </w:r>
      <w:proofErr w:type="spellEnd"/>
      <w:r>
        <w:rPr>
          <w:rFonts w:ascii="Times New Roman" w:eastAsia="Times New Roman" w:hAnsi="Times New Roman" w:cs="Times New Roman"/>
        </w:rPr>
        <w:t xml:space="preserve"> eripära tekitab teatava eksootilisuse kuvandi ning mõjub samas ka usaldusväärsena. Sama trend tuleb välja ka käesoleva arengustrateegia SWOT analüüsist.</w:t>
      </w:r>
    </w:p>
    <w:p w14:paraId="2E1C1F4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Ettevõtluskeskkonna suurimate kitsaskohtadena tõusid esile tööjõupuudus ning </w:t>
      </w:r>
      <w:proofErr w:type="spellStart"/>
      <w:r>
        <w:rPr>
          <w:rFonts w:ascii="Times New Roman" w:eastAsia="Times New Roman" w:hAnsi="Times New Roman" w:cs="Times New Roman"/>
        </w:rPr>
        <w:t>saarelisest</w:t>
      </w:r>
      <w:proofErr w:type="spellEnd"/>
      <w:r>
        <w:rPr>
          <w:rFonts w:ascii="Times New Roman" w:eastAsia="Times New Roman" w:hAnsi="Times New Roman" w:cs="Times New Roman"/>
        </w:rPr>
        <w:t xml:space="preserve"> eripärast tulenev probleemne transpordiühendus ja logistika. Saare maakonna ettevõtluskeskkonna erinevatele teguritele antud keskmiste rahuloluhinnangute põhjal võib öelda, et kõige väiksem on rahulolu vajaliku tööjõu olemasolu ja selle leidmise võimaluste, maakonnasisese bussiliikluse ning elektrivarustuskindlusega. Seega on eelpool mainitud ettevõtluskeskkonna tegurite parendamine väga olulise kaaluga Saare maakonna esitlemisel nii positiivse elu- kui ka ettevõtluskeskkonnana, et praegustel kohalikel elanikel ja ettevõtjatel säiliks soov saarele elama ja tegutsema jääda ning </w:t>
      </w:r>
      <w:proofErr w:type="spellStart"/>
      <w:r>
        <w:rPr>
          <w:rFonts w:ascii="Times New Roman" w:eastAsia="Times New Roman" w:hAnsi="Times New Roman" w:cs="Times New Roman"/>
        </w:rPr>
        <w:t>saareline</w:t>
      </w:r>
      <w:proofErr w:type="spellEnd"/>
      <w:r>
        <w:rPr>
          <w:rFonts w:ascii="Times New Roman" w:eastAsia="Times New Roman" w:hAnsi="Times New Roman" w:cs="Times New Roman"/>
        </w:rPr>
        <w:t xml:space="preserve"> keskkond oleks atraktiivne ka väljastpoolt tulijatele.</w:t>
      </w:r>
      <w:r>
        <w:rPr>
          <w:rStyle w:val="Allmrkuseviide"/>
          <w:rFonts w:ascii="Times New Roman" w:eastAsia="Times New Roman" w:hAnsi="Times New Roman" w:cs="Times New Roman"/>
        </w:rPr>
        <w:footnoteReference w:id="32"/>
      </w:r>
    </w:p>
    <w:p w14:paraId="07E893CB" w14:textId="77777777" w:rsidR="008312AA" w:rsidRDefault="008312AA">
      <w:pPr>
        <w:spacing w:line="276" w:lineRule="auto"/>
        <w:rPr>
          <w:rFonts w:ascii="Times New Roman" w:eastAsia="Times New Roman" w:hAnsi="Times New Roman" w:cs="Times New Roman"/>
        </w:rPr>
      </w:pPr>
    </w:p>
    <w:p w14:paraId="007A75EE" w14:textId="76C951E1"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11" w:name="_Toc157420930"/>
      <w:r w:rsidRPr="00C313E2">
        <w:rPr>
          <w:rFonts w:ascii="Times New Roman" w:hAnsi="Times New Roman" w:cs="Times New Roman"/>
          <w:color w:val="0E5C04"/>
        </w:rPr>
        <w:t xml:space="preserve">1.1.4. </w:t>
      </w:r>
      <w:r w:rsidR="00FB7C44">
        <w:rPr>
          <w:rFonts w:ascii="Times New Roman" w:hAnsi="Times New Roman" w:cs="Times New Roman"/>
          <w:color w:val="0E5C04"/>
        </w:rPr>
        <w:t>Kaitstavad loodusobjektid</w:t>
      </w:r>
      <w:bookmarkEnd w:id="11"/>
    </w:p>
    <w:p w14:paraId="0537924D" w14:textId="3556BCC5" w:rsidR="00FB7C44" w:rsidRDefault="00FB7C44">
      <w:pPr>
        <w:spacing w:line="276" w:lineRule="auto"/>
        <w:rPr>
          <w:rFonts w:ascii="Times New Roman" w:hAnsi="Times New Roman" w:cs="Times New Roman"/>
        </w:rPr>
      </w:pPr>
      <w:r w:rsidRPr="00FB7C44">
        <w:rPr>
          <w:rFonts w:ascii="Times New Roman" w:hAnsi="Times New Roman" w:cs="Times New Roman"/>
        </w:rPr>
        <w:t>Kaitstavad loodusobjektid on kaitsealad (looduskaitsealad, maastikukaitsealad ja rahvuspargid), hoiualad, kaitsealused liigid ja kivistised, püsielupaigad, kaitstavad looduse üksikobjektid ning kohaliku omavalitsuse tasandil kaitstavad loodusobjektid. Kaitstavate alade ja objektide eesmärgiks on hoida kõige iseloomulikumat ja väärtuslikumat Eesti ja Saaremaa looduses. Keskkonnaregistri andmetel on Saare maakonnas kaitstavaid alasid (erinevate kategooriate kaitsealad, hoiualad ja püsielupaigad) kokku 54180 ha ehk 19% maakonnast Täpne ja ajakohane info kaitstavate loodusobjektide ja nende kaitse kohta on Keskkonnaregistris.</w:t>
      </w:r>
      <w:r>
        <w:rPr>
          <w:rStyle w:val="Allmrkuseviide"/>
          <w:rFonts w:ascii="Times New Roman" w:hAnsi="Times New Roman" w:cs="Times New Roman"/>
        </w:rPr>
        <w:footnoteReference w:id="33"/>
      </w:r>
    </w:p>
    <w:p w14:paraId="1F90C26E" w14:textId="77777777" w:rsidR="00EA7744" w:rsidRPr="00EA7744" w:rsidRDefault="00EA7744">
      <w:pPr>
        <w:spacing w:line="276" w:lineRule="auto"/>
        <w:rPr>
          <w:rFonts w:ascii="Times New Roman" w:hAnsi="Times New Roman" w:cs="Times New Roman"/>
        </w:rPr>
      </w:pPr>
      <w:r w:rsidRPr="00EA7744">
        <w:rPr>
          <w:rFonts w:ascii="Times New Roman" w:hAnsi="Times New Roman" w:cs="Times New Roman"/>
        </w:rPr>
        <w:t xml:space="preserve">Saaremaa kaitsealasid iseloomustavad sellised märksõnad nagu merelinnud, haruldased taimeliigid, pangad, </w:t>
      </w:r>
      <w:proofErr w:type="spellStart"/>
      <w:r w:rsidRPr="00EA7744">
        <w:rPr>
          <w:rFonts w:ascii="Times New Roman" w:hAnsi="Times New Roman" w:cs="Times New Roman"/>
        </w:rPr>
        <w:t>kurisud</w:t>
      </w:r>
      <w:proofErr w:type="spellEnd"/>
      <w:r w:rsidRPr="00EA7744">
        <w:rPr>
          <w:rFonts w:ascii="Times New Roman" w:hAnsi="Times New Roman" w:cs="Times New Roman"/>
        </w:rPr>
        <w:t xml:space="preserve">, looalad, allikasood, puisniidud. </w:t>
      </w:r>
    </w:p>
    <w:p w14:paraId="3E8971DE" w14:textId="11ECB193" w:rsidR="00EA7744" w:rsidRPr="00EA7744" w:rsidRDefault="00EA7744">
      <w:pPr>
        <w:spacing w:line="276" w:lineRule="auto"/>
        <w:rPr>
          <w:rFonts w:ascii="Times New Roman" w:hAnsi="Times New Roman" w:cs="Times New Roman"/>
        </w:rPr>
      </w:pPr>
      <w:r w:rsidRPr="00EA7744">
        <w:rPr>
          <w:rFonts w:ascii="Times New Roman" w:hAnsi="Times New Roman" w:cs="Times New Roman"/>
        </w:rPr>
        <w:t xml:space="preserve">Natura 2000 alade võrgustiku tarvis loodi Saare maakonnas 73 ajutise piiranguga ala, kogupindalaga 317 700 ha, millest suurem osa on rannikumeri. Need alad hõlmavad ligikaudu 13% maakonna maismaast. Võrgustikku haarati näiteks Mullutu ja Suurlaht ning selle ümbrus (umbes 6300 ha) linnustiku ja märgala koosluste kaitseks, Koigi raba (2300 ha) hoidmaks Saaremaa suurimat raba, Karujärv (400 ha), </w:t>
      </w:r>
      <w:proofErr w:type="spellStart"/>
      <w:r w:rsidRPr="00EA7744">
        <w:rPr>
          <w:rFonts w:ascii="Times New Roman" w:hAnsi="Times New Roman" w:cs="Times New Roman"/>
        </w:rPr>
        <w:t>Tagamõisa</w:t>
      </w:r>
      <w:proofErr w:type="spellEnd"/>
      <w:r w:rsidRPr="00EA7744">
        <w:rPr>
          <w:rFonts w:ascii="Times New Roman" w:hAnsi="Times New Roman" w:cs="Times New Roman"/>
        </w:rPr>
        <w:t xml:space="preserve"> poolsaare põhjaosa koos merealaga (8300 ha) liigirikaste koosluste kaitseks, suurem osa Ruhnu saarest (800 ha) hoidmaks sealseid niitusid ning luite- ja metsakooslusi.</w:t>
      </w:r>
      <w:r>
        <w:rPr>
          <w:rStyle w:val="Allmrkuseviide"/>
          <w:rFonts w:ascii="Times New Roman" w:hAnsi="Times New Roman" w:cs="Times New Roman"/>
        </w:rPr>
        <w:footnoteReference w:id="34"/>
      </w:r>
    </w:p>
    <w:p w14:paraId="475635AA" w14:textId="77777777" w:rsidR="00EF4F48"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Võib öelda, et ligi viiendik Saare maakonna maismaa territooriumist on kaitse all, Maa-ameti looduskaitse kaardirakendusest nähtub, et merega piirneb 20 looduskaitse- ja hoiuala. </w:t>
      </w:r>
    </w:p>
    <w:p w14:paraId="750AD681" w14:textId="4DF4E732" w:rsidR="008312AA" w:rsidRDefault="00000000">
      <w:pPr>
        <w:spacing w:line="276" w:lineRule="auto"/>
        <w:rPr>
          <w:rFonts w:ascii="Times New Roman" w:eastAsia="Times New Roman" w:hAnsi="Times New Roman" w:cs="Times New Roman"/>
        </w:rPr>
      </w:pPr>
      <w:proofErr w:type="spellStart"/>
      <w:r>
        <w:rPr>
          <w:rFonts w:ascii="Times New Roman" w:eastAsia="Times New Roman" w:hAnsi="Times New Roman" w:cs="Times New Roman"/>
        </w:rPr>
        <w:t>Kalakaitselised</w:t>
      </w:r>
      <w:proofErr w:type="spellEnd"/>
      <w:r>
        <w:rPr>
          <w:rFonts w:ascii="Times New Roman" w:eastAsia="Times New Roman" w:hAnsi="Times New Roman" w:cs="Times New Roman"/>
        </w:rPr>
        <w:t xml:space="preserve"> piirangud on kahel looduskaitsealal, milleks on Vilsandi Rahvuspark (16 551 ha vett) ja Laidevahe looduskaitseala (927 ha vett). Vilsandi Rahvuspargi veealal on keelatud sügisene siiapüük, mis andis kaluritele olulist palgalisa. Laidevahe looduskaitseala on oluline ahvena, haugi ja särjepüügi </w:t>
      </w:r>
      <w:proofErr w:type="spellStart"/>
      <w:r>
        <w:rPr>
          <w:rFonts w:ascii="Times New Roman" w:eastAsia="Times New Roman" w:hAnsi="Times New Roman" w:cs="Times New Roman"/>
        </w:rPr>
        <w:t>veeala</w:t>
      </w:r>
      <w:proofErr w:type="spellEnd"/>
      <w:r>
        <w:rPr>
          <w:rFonts w:ascii="Times New Roman" w:eastAsia="Times New Roman" w:hAnsi="Times New Roman" w:cs="Times New Roman"/>
        </w:rPr>
        <w:t xml:space="preserve"> just </w:t>
      </w:r>
      <w:proofErr w:type="spellStart"/>
      <w:r>
        <w:rPr>
          <w:rFonts w:ascii="Times New Roman" w:eastAsia="Times New Roman" w:hAnsi="Times New Roman" w:cs="Times New Roman"/>
        </w:rPr>
        <w:t>kesksuvisel</w:t>
      </w:r>
      <w:proofErr w:type="spellEnd"/>
      <w:r>
        <w:rPr>
          <w:rFonts w:ascii="Times New Roman" w:eastAsia="Times New Roman" w:hAnsi="Times New Roman" w:cs="Times New Roman"/>
        </w:rPr>
        <w:t xml:space="preserve"> ajal.</w:t>
      </w:r>
    </w:p>
    <w:p w14:paraId="3BD40D69" w14:textId="77777777" w:rsidR="008312AA" w:rsidRDefault="008312AA">
      <w:pPr>
        <w:spacing w:line="276" w:lineRule="auto"/>
        <w:rPr>
          <w:rFonts w:ascii="Times New Roman" w:eastAsia="Times New Roman" w:hAnsi="Times New Roman" w:cs="Times New Roman"/>
        </w:rPr>
      </w:pPr>
    </w:p>
    <w:p w14:paraId="51134A30"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1693E8AC" wp14:editId="08E7FF34">
            <wp:extent cx="4998085" cy="5227850"/>
            <wp:effectExtent l="0" t="0" r="0" b="0"/>
            <wp:docPr id="9"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g"/>
                    <pic:cNvPicPr>
                      <a:picLocks noChangeAspect="1" noChangeArrowheads="1"/>
                    </pic:cNvPicPr>
                  </pic:nvPicPr>
                  <pic:blipFill>
                    <a:blip r:embed="rId16"/>
                    <a:stretch>
                      <a:fillRect/>
                    </a:stretch>
                  </pic:blipFill>
                  <pic:spPr bwMode="auto">
                    <a:xfrm>
                      <a:off x="0" y="0"/>
                      <a:ext cx="5007856" cy="5238070"/>
                    </a:xfrm>
                    <a:prstGeom prst="rect">
                      <a:avLst/>
                    </a:prstGeom>
                  </pic:spPr>
                </pic:pic>
              </a:graphicData>
            </a:graphic>
          </wp:inline>
        </w:drawing>
      </w:r>
    </w:p>
    <w:p w14:paraId="6C11F37E" w14:textId="71584843" w:rsidR="008312AA" w:rsidRDefault="00000000">
      <w:pPr>
        <w:spacing w:before="120" w:line="276" w:lineRule="auto"/>
        <w:rPr>
          <w:rFonts w:ascii="Times New Roman" w:eastAsia="Times New Roman" w:hAnsi="Times New Roman" w:cs="Times New Roman"/>
        </w:rPr>
      </w:pPr>
      <w:r>
        <w:rPr>
          <w:rFonts w:ascii="Times New Roman" w:eastAsia="Times New Roman" w:hAnsi="Times New Roman" w:cs="Times New Roman"/>
          <w:i/>
        </w:rPr>
        <w:t xml:space="preserve">Joonis </w:t>
      </w:r>
      <w:r w:rsidR="00EA7744">
        <w:rPr>
          <w:rFonts w:ascii="Times New Roman" w:eastAsia="Times New Roman" w:hAnsi="Times New Roman" w:cs="Times New Roman"/>
          <w:i/>
        </w:rPr>
        <w:t>7</w:t>
      </w:r>
      <w:r>
        <w:rPr>
          <w:rFonts w:ascii="Times New Roman" w:eastAsia="Times New Roman" w:hAnsi="Times New Roman" w:cs="Times New Roman"/>
          <w:i/>
        </w:rPr>
        <w:t xml:space="preserve">: Saare maakonna looduskaitse ja hoiualad (allikas: Maa-ameti looduskaitse </w:t>
      </w:r>
      <w:proofErr w:type="spellStart"/>
      <w:r>
        <w:rPr>
          <w:rFonts w:ascii="Times New Roman" w:eastAsia="Times New Roman" w:hAnsi="Times New Roman" w:cs="Times New Roman"/>
          <w:i/>
        </w:rPr>
        <w:t>geoportaal</w:t>
      </w:r>
      <w:proofErr w:type="spellEnd"/>
      <w:r>
        <w:rPr>
          <w:rFonts w:ascii="Times New Roman" w:eastAsia="Times New Roman" w:hAnsi="Times New Roman" w:cs="Times New Roman"/>
          <w:i/>
        </w:rPr>
        <w:t>)</w:t>
      </w:r>
    </w:p>
    <w:p w14:paraId="07B723BC" w14:textId="77777777" w:rsidR="008312AA" w:rsidRDefault="008312AA">
      <w:pPr>
        <w:spacing w:line="276" w:lineRule="auto"/>
        <w:rPr>
          <w:rFonts w:ascii="Times New Roman" w:eastAsia="Times New Roman" w:hAnsi="Times New Roman" w:cs="Times New Roman"/>
        </w:rPr>
      </w:pPr>
    </w:p>
    <w:p w14:paraId="17E2999F" w14:textId="77777777"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12" w:name="_Toc157420931"/>
      <w:r w:rsidRPr="00C313E2">
        <w:rPr>
          <w:rFonts w:ascii="Times New Roman" w:hAnsi="Times New Roman" w:cs="Times New Roman"/>
          <w:color w:val="0E5C04"/>
        </w:rPr>
        <w:t>1.1.5. Mereala planeering</w:t>
      </w:r>
      <w:bookmarkEnd w:id="12"/>
    </w:p>
    <w:p w14:paraId="6B2C36A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Mereala planeerimise eesmärk on leppida kokku Eesti mereala kasutuse põhimõtetes pikas perspektiivis, et panustada merekeskkonna hea seisundi saavutamisse ja säilitamisse ning edendada meremajandust. Planeeringuga määrati kindlaks, millistes piirkondades ja millistel tingimustel saab merealal tegevusi ellu viia. Mereala planeeringu koostamise käigus käsitleti merealal juba toimuvate ja alles kavandatavate tegevuste koosmõju. Samuti hinnati nendega kaasnevat mõju merekeskkonnale ja majandusele ning tegevuste sotsiaalset ja kultuurilist mõju. Mõjude hindamise tulemused kajastuvad seletuskirjas, koostatud on ka eraldiseisev mõjude hindamise aruanne. Kehtestatud mereala planeering on aluseks erinevate mereala kasutamist lubavate otsuste langetamisel nii ministeeriumidele kui ametitele ning suunab ka ettevõtjate, investorite, kohalike omavalitsuste ning rannikukogukondade tegevust. Mereala planeeringuga tuleb arvestada planeeringute, mereala kasutust mõjutavate otsuste, merekasutuseks </w:t>
      </w:r>
      <w:r>
        <w:rPr>
          <w:rFonts w:ascii="Times New Roman" w:eastAsia="Times New Roman" w:hAnsi="Times New Roman" w:cs="Times New Roman"/>
        </w:rPr>
        <w:lastRenderedPageBreak/>
        <w:t xml:space="preserve">väljastatavate lubade ning riigi ja kohaliku omavalitsuse strateegiliste arengudokumentide koostamisel (allikas: Regionaal- ja Põllumajandusministeerium). </w:t>
      </w:r>
      <w:r>
        <w:rPr>
          <w:rStyle w:val="Allmrkuseviide"/>
          <w:rFonts w:ascii="Times New Roman" w:eastAsia="Times New Roman" w:hAnsi="Times New Roman" w:cs="Times New Roman"/>
        </w:rPr>
        <w:footnoteReference w:id="35"/>
      </w:r>
    </w:p>
    <w:p w14:paraId="1A3AD42F" w14:textId="6E1D56CF"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Merealade planeeringu alad hakkavad kindlasti mõjutama rannakalandust.</w:t>
      </w:r>
      <w:r w:rsidR="00422C7E">
        <w:rPr>
          <w:rFonts w:ascii="Times New Roman" w:eastAsia="Times New Roman" w:hAnsi="Times New Roman" w:cs="Times New Roman"/>
        </w:rPr>
        <w:t xml:space="preserve"> </w:t>
      </w:r>
      <w:r>
        <w:rPr>
          <w:rFonts w:ascii="Times New Roman" w:eastAsia="Times New Roman" w:hAnsi="Times New Roman" w:cs="Times New Roman"/>
        </w:rPr>
        <w:t xml:space="preserve"> Saaremaa läänerannikul on lestapüügialad, püütakse praktiliselt kõiki samu kalu, mis mujalgi Saaremaa rannikumeres. Kala lossimine Saaremaa läänerannikul moodustab 8% kogu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püügist</w:t>
      </w:r>
    </w:p>
    <w:p w14:paraId="5DEAC53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Kõige suurem mure on kaluritel tuleviku suhtes, sest keegi ei ole, ega saagi uurida ette tuuleparkide kumulatiivset mõju. Sellise mahuga tuuleparki nii madalasse merre ei ole maailmas veel ehitatud.</w:t>
      </w:r>
    </w:p>
    <w:p w14:paraId="129DE83E" w14:textId="77777777" w:rsidR="008312AA" w:rsidRDefault="008312AA">
      <w:pPr>
        <w:spacing w:line="276" w:lineRule="auto"/>
        <w:rPr>
          <w:rFonts w:ascii="Times New Roman" w:eastAsia="Times New Roman" w:hAnsi="Times New Roman" w:cs="Times New Roman"/>
        </w:rPr>
      </w:pPr>
    </w:p>
    <w:p w14:paraId="4EE34AA5" w14:textId="3145AB6C" w:rsidR="008312AA" w:rsidRPr="00C313E2" w:rsidRDefault="00000000" w:rsidP="00541032">
      <w:pPr>
        <w:pStyle w:val="Pealkiri3"/>
        <w:spacing w:line="276" w:lineRule="auto"/>
        <w:ind w:left="709"/>
        <w:jc w:val="left"/>
        <w:rPr>
          <w:rFonts w:ascii="Times New Roman" w:hAnsi="Times New Roman" w:cs="Times New Roman"/>
          <w:color w:val="0E5C04"/>
        </w:rPr>
      </w:pPr>
      <w:bookmarkStart w:id="13" w:name="_Toc157420932"/>
      <w:r w:rsidRPr="00C313E2">
        <w:rPr>
          <w:rFonts w:ascii="Times New Roman" w:hAnsi="Times New Roman" w:cs="Times New Roman"/>
          <w:color w:val="0E5C04"/>
        </w:rPr>
        <w:t>1.1.6. Veekeskkonna seisund Saaremaa rannikumeres</w:t>
      </w:r>
      <w:bookmarkEnd w:id="13"/>
      <w:r w:rsidRPr="00C313E2">
        <w:rPr>
          <w:rFonts w:ascii="Times New Roman" w:hAnsi="Times New Roman" w:cs="Times New Roman"/>
          <w:color w:val="0E5C04"/>
        </w:rPr>
        <w:t xml:space="preserve"> </w:t>
      </w:r>
    </w:p>
    <w:p w14:paraId="00B377A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Eesti mereala on jagatud kolmeks (vastavalt merealapiiride seadusele): </w:t>
      </w:r>
      <w:proofErr w:type="spellStart"/>
      <w:r>
        <w:rPr>
          <w:rFonts w:ascii="Times New Roman" w:eastAsia="Times New Roman" w:hAnsi="Times New Roman" w:cs="Times New Roman"/>
        </w:rPr>
        <w:t>sisemeri</w:t>
      </w:r>
      <w:proofErr w:type="spellEnd"/>
      <w:r>
        <w:rPr>
          <w:rFonts w:ascii="Times New Roman" w:eastAsia="Times New Roman" w:hAnsi="Times New Roman" w:cs="Times New Roman"/>
        </w:rPr>
        <w:t>, territoriaalmeri ja majandusvöönd. Nagu allolevalt jooniselt nähtub, on Saaremaa rannikumeri madal meri, mille sügavus jääb 10-25 m piiridesse.</w:t>
      </w:r>
    </w:p>
    <w:p w14:paraId="00022819"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31B055DE" wp14:editId="54DB0555">
            <wp:extent cx="5760085" cy="2463800"/>
            <wp:effectExtent l="0" t="0" r="0" b="0"/>
            <wp:docPr id="10"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g"/>
                    <pic:cNvPicPr>
                      <a:picLocks noChangeAspect="1" noChangeArrowheads="1"/>
                    </pic:cNvPicPr>
                  </pic:nvPicPr>
                  <pic:blipFill>
                    <a:blip r:embed="rId17"/>
                    <a:stretch>
                      <a:fillRect/>
                    </a:stretch>
                  </pic:blipFill>
                  <pic:spPr bwMode="auto">
                    <a:xfrm>
                      <a:off x="0" y="0"/>
                      <a:ext cx="5760085" cy="2463800"/>
                    </a:xfrm>
                    <a:prstGeom prst="rect">
                      <a:avLst/>
                    </a:prstGeom>
                  </pic:spPr>
                </pic:pic>
              </a:graphicData>
            </a:graphic>
          </wp:inline>
        </w:drawing>
      </w:r>
    </w:p>
    <w:p w14:paraId="6DC9062C"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8: Mereala piirid ja sügavusjooned Saaremaa rannikumeres (allikas: Eesti Veeteede Amet)</w:t>
      </w:r>
    </w:p>
    <w:p w14:paraId="53FEA91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Mere ökosüsteemi seisundit mõjutavad nii maismaal kui Läänemeres toimuvad protsessid ja mõjurid, olulisim neist on inimtegevus. Oma mere kaitse ja kasutamise korraldamisel lähtub Eesti sarnaselt teistele EL-i riikidele merestrateegia raamdirektiivist (2008/56/EÜ; lüh. MSRD). Viimane Eesti mereala keskkonnaseisundi uuring viidi läbi 2018/2019. a. Merekeskkonnas on eristatavad kaks üldist elupaika: </w:t>
      </w:r>
      <w:proofErr w:type="spellStart"/>
      <w:r>
        <w:rPr>
          <w:rFonts w:ascii="Times New Roman" w:eastAsia="Times New Roman" w:hAnsi="Times New Roman" w:cs="Times New Roman"/>
        </w:rPr>
        <w:t>pelaagilised</w:t>
      </w:r>
      <w:proofErr w:type="spellEnd"/>
      <w:r>
        <w:rPr>
          <w:rFonts w:ascii="Times New Roman" w:eastAsia="Times New Roman" w:hAnsi="Times New Roman" w:cs="Times New Roman"/>
        </w:rPr>
        <w:t xml:space="preserve"> (veesamba) elupaigad ja </w:t>
      </w:r>
      <w:proofErr w:type="spellStart"/>
      <w:r>
        <w:rPr>
          <w:rFonts w:ascii="Times New Roman" w:eastAsia="Times New Roman" w:hAnsi="Times New Roman" w:cs="Times New Roman"/>
        </w:rPr>
        <w:t>bentilised</w:t>
      </w:r>
      <w:proofErr w:type="spellEnd"/>
      <w:r>
        <w:rPr>
          <w:rFonts w:ascii="Times New Roman" w:eastAsia="Times New Roman" w:hAnsi="Times New Roman" w:cs="Times New Roman"/>
        </w:rPr>
        <w:t xml:space="preserve"> (merepõhja) elupaigad. Uuringus välja toodud hinnang Eesti mereala </w:t>
      </w:r>
      <w:proofErr w:type="spellStart"/>
      <w:r>
        <w:rPr>
          <w:rFonts w:ascii="Times New Roman" w:eastAsia="Times New Roman" w:hAnsi="Times New Roman" w:cs="Times New Roman"/>
        </w:rPr>
        <w:t>pelaagilistele</w:t>
      </w:r>
      <w:proofErr w:type="spellEnd"/>
      <w:r>
        <w:rPr>
          <w:rFonts w:ascii="Times New Roman" w:eastAsia="Times New Roman" w:hAnsi="Times New Roman" w:cs="Times New Roman"/>
        </w:rPr>
        <w:t xml:space="preserve"> elupaikadele on valdavalt ebasoodne, heas seisus on vaid osa Saare- ja Hiiumaa lääne- ning põhjarannikuga piirnevast rannikumerest ja väike osa Soome lahe idapoolsest rannikumerest. Põhjaelupaikadest hinnatakse karide, laugmadalike ja liivamadalate seisundit. Kõik need kolm elupaigatüüpi on soodsas seisundis. Lisaks hinnati põhjaelupaikade hapnikuvaegust ja pehmepõhjaliste alade </w:t>
      </w:r>
      <w:r>
        <w:rPr>
          <w:rFonts w:ascii="Times New Roman" w:eastAsia="Times New Roman" w:hAnsi="Times New Roman" w:cs="Times New Roman"/>
        </w:rPr>
        <w:lastRenderedPageBreak/>
        <w:t xml:space="preserve">makrofauna kooslusi. Nende hinnang Eesti merealal on valdavalt soodne, kuid Väinameres, Pärnu lahes ning Soome lahe ida- ja avaosas head seisundit ei saavutatud. </w:t>
      </w:r>
      <w:proofErr w:type="spellStart"/>
      <w:r>
        <w:rPr>
          <w:rFonts w:ascii="Times New Roman" w:eastAsia="Times New Roman" w:hAnsi="Times New Roman" w:cs="Times New Roman"/>
        </w:rPr>
        <w:t>Eutrofeerumine</w:t>
      </w:r>
      <w:proofErr w:type="spellEnd"/>
      <w:r>
        <w:rPr>
          <w:rFonts w:ascii="Times New Roman" w:eastAsia="Times New Roman" w:hAnsi="Times New Roman" w:cs="Times New Roman"/>
        </w:rPr>
        <w:t xml:space="preserve"> ongi Läänemere üks suurimaid keskkonnaprobleeme, </w:t>
      </w:r>
      <w:proofErr w:type="spellStart"/>
      <w:r>
        <w:rPr>
          <w:rFonts w:ascii="Times New Roman" w:eastAsia="Times New Roman" w:hAnsi="Times New Roman" w:cs="Times New Roman"/>
        </w:rPr>
        <w:t>eutrofeerumist</w:t>
      </w:r>
      <w:proofErr w:type="spellEnd"/>
      <w:r>
        <w:rPr>
          <w:rFonts w:ascii="Times New Roman" w:eastAsia="Times New Roman" w:hAnsi="Times New Roman" w:cs="Times New Roman"/>
        </w:rPr>
        <w:t xml:space="preserve"> põhjustab toitainete (eelkõige lämmastik- ja fosforiühendite) kuhjumine merekeskkonda. Eesti riikliku merekeskkonna seire andmed näitavad ka, et nii talvised anorgaanilise lämmastiku ja fosforiühendite kontsentratsioonid kui ka suvised keskmised </w:t>
      </w:r>
      <w:proofErr w:type="spellStart"/>
      <w:r>
        <w:rPr>
          <w:rFonts w:ascii="Times New Roman" w:eastAsia="Times New Roman" w:hAnsi="Times New Roman" w:cs="Times New Roman"/>
        </w:rPr>
        <w:t>üldlämmastiku</w:t>
      </w:r>
      <w:proofErr w:type="spellEnd"/>
      <w:r>
        <w:rPr>
          <w:rFonts w:ascii="Times New Roman" w:eastAsia="Times New Roman" w:hAnsi="Times New Roman" w:cs="Times New Roman"/>
        </w:rPr>
        <w:t xml:space="preserve"> ja -fosfori sisaldused on kaugelt üle soovitud taseme. Sama probleemi võib täheldada ka Liivi- Lahes ja Väinameres.</w:t>
      </w:r>
      <w:r>
        <w:rPr>
          <w:rStyle w:val="Allmrkuseviide"/>
          <w:rFonts w:ascii="Times New Roman" w:eastAsia="Times New Roman" w:hAnsi="Times New Roman" w:cs="Times New Roman"/>
        </w:rPr>
        <w:footnoteReference w:id="36"/>
      </w:r>
    </w:p>
    <w:p w14:paraId="7109A4FC" w14:textId="77777777" w:rsidR="00464746" w:rsidRDefault="00464746">
      <w:pPr>
        <w:spacing w:line="276" w:lineRule="auto"/>
        <w:rPr>
          <w:rFonts w:ascii="Times New Roman" w:hAnsi="Times New Roman" w:cs="Times New Roman"/>
        </w:rPr>
      </w:pPr>
    </w:p>
    <w:p w14:paraId="1A68605E" w14:textId="5F0229C7" w:rsidR="00464746" w:rsidRPr="00464746" w:rsidRDefault="00464746" w:rsidP="00464746">
      <w:pPr>
        <w:pStyle w:val="Pealkiri3"/>
        <w:ind w:left="0" w:firstLine="0"/>
        <w:rPr>
          <w:rFonts w:ascii="Times New Roman" w:hAnsi="Times New Roman" w:cs="Times New Roman"/>
          <w:color w:val="005E00"/>
        </w:rPr>
      </w:pPr>
      <w:bookmarkStart w:id="14" w:name="_Toc157420933"/>
      <w:r w:rsidRPr="00464746">
        <w:rPr>
          <w:rFonts w:ascii="Times New Roman" w:hAnsi="Times New Roman" w:cs="Times New Roman"/>
          <w:color w:val="005E00"/>
        </w:rPr>
        <w:t>1.1.7. Piirkonna loodusressursid</w:t>
      </w:r>
      <w:bookmarkEnd w:id="14"/>
    </w:p>
    <w:p w14:paraId="6D82FB88" w14:textId="58499866" w:rsidR="00EA7744" w:rsidRDefault="00EA7744">
      <w:pPr>
        <w:spacing w:line="276" w:lineRule="auto"/>
        <w:rPr>
          <w:rFonts w:ascii="Times New Roman" w:hAnsi="Times New Roman" w:cs="Times New Roman"/>
        </w:rPr>
      </w:pPr>
      <w:r w:rsidRPr="00EA7744">
        <w:rPr>
          <w:rFonts w:ascii="Times New Roman" w:hAnsi="Times New Roman" w:cs="Times New Roman"/>
        </w:rPr>
        <w:t xml:space="preserve">Kui räägitakse Saare maakonna loodusest, siis mõeldakse eeskätt ilusatele rannamaastikele, poolsaartest liigestatud linnurikastele lahtedele, väikestele laidudele, kadastikele. Järgmisena meenuvad paesed pangad, liivaluited ja Kaali meteoriidikraater, sügavama loodushuviga inimestele loomulikult ka liigirikas ja sageli värvikirev taimestik. Pehme merelise kliima ja lubjarikka pinnase tõttu on Saaremaa taimestik liigirohke. Seda kinnitab tõsiasi, et siin leidub 80% kõigist Eestimaal leitud taimeliikidest. Nad kasvavad liigirikastel loopealsetel, ranna- ja puisniitudel ning laialehistes metsades. Kuigi meri tõkestab paljude loomaliikide levikut saartele, on Saaremaale siiski jõudnud suur osa Eesti faunast. </w:t>
      </w:r>
    </w:p>
    <w:p w14:paraId="7ECA57A5" w14:textId="5DD0451F" w:rsidR="00536557" w:rsidRPr="00EA7744" w:rsidRDefault="00EA7744">
      <w:pPr>
        <w:spacing w:line="276" w:lineRule="auto"/>
        <w:rPr>
          <w:rFonts w:ascii="Times New Roman" w:hAnsi="Times New Roman" w:cs="Times New Roman"/>
        </w:rPr>
      </w:pPr>
      <w:r w:rsidRPr="00EA7744">
        <w:rPr>
          <w:rFonts w:ascii="Times New Roman" w:hAnsi="Times New Roman" w:cs="Times New Roman"/>
        </w:rPr>
        <w:t>Järvi on Saaremaal üle 80, eriti palju saare loodesopis. Soodest on Saaremaale kõige rohkem kuulsust toonud Viidumäe allikasoo, mis jääb praeguse Viidumäe Looduskaitseala koosseisu.</w:t>
      </w:r>
      <w:r w:rsidR="00EF4F48">
        <w:rPr>
          <w:rStyle w:val="Allmrkuseviide"/>
          <w:rFonts w:ascii="Times New Roman" w:hAnsi="Times New Roman" w:cs="Times New Roman"/>
        </w:rPr>
        <w:footnoteReference w:id="37"/>
      </w:r>
    </w:p>
    <w:p w14:paraId="6BA91EC8" w14:textId="707CCCD1" w:rsidR="008312AA" w:rsidRDefault="00804144">
      <w:pPr>
        <w:spacing w:line="276" w:lineRule="auto"/>
        <w:rPr>
          <w:rFonts w:ascii="Times New Roman" w:hAnsi="Times New Roman" w:cs="Times New Roman"/>
        </w:rPr>
      </w:pPr>
      <w:r w:rsidRPr="00536557">
        <w:rPr>
          <w:rFonts w:ascii="Times New Roman" w:hAnsi="Times New Roman" w:cs="Times New Roman"/>
        </w:rPr>
        <w:t>Saare maakonnas paiknevad maardlad hajusalt ja tiheasustusest eemal, sellest tulenevalt märkimisväärseid konflikte mäetööstusmaa ja muude maakasutuste vahel pole esinenud. Mõned maardlad siiski osaliselt kattuvad kaitse– või hoiualadega. Kaitstavate aladega kattuvatel maardlaosadel ei ole kaevandamise alustamine reeglina võimalik. Kaitstavate alade piiril või naabruses eeldab kaevandamise alustamine mõjude hindamist. Erandiks on Mullutu-Loode hoiualal paiknev Mullutu-Suurlahe meremudamaardla, mida kasutatakse meremuda varumiseks.</w:t>
      </w:r>
    </w:p>
    <w:p w14:paraId="17008687" w14:textId="790C85FA" w:rsidR="00536557" w:rsidRDefault="00536557">
      <w:pPr>
        <w:spacing w:line="276" w:lineRule="auto"/>
        <w:rPr>
          <w:rFonts w:ascii="Times New Roman" w:hAnsi="Times New Roman" w:cs="Times New Roman"/>
        </w:rPr>
      </w:pPr>
      <w:r w:rsidRPr="00536557">
        <w:rPr>
          <w:rFonts w:ascii="Times New Roman" w:hAnsi="Times New Roman" w:cs="Times New Roman"/>
        </w:rPr>
        <w:t xml:space="preserve">Avalik huvi on maakonna tasandil eelkõige ehitusmaavarade varustuskindluse25 vastu, kuna neid tarbitakse kohalikus ehituses ega ole tasuv kaugelt vedada (normaalseks varustuspiirkonnaks peetakse kuni 50 km kaevandamiskohast). Enamike ehitusmaavarade </w:t>
      </w:r>
      <w:r>
        <w:rPr>
          <w:rFonts w:ascii="Times New Roman" w:hAnsi="Times New Roman" w:cs="Times New Roman"/>
        </w:rPr>
        <w:t xml:space="preserve">(ehitus- ja </w:t>
      </w:r>
      <w:proofErr w:type="spellStart"/>
      <w:r>
        <w:rPr>
          <w:rFonts w:ascii="Times New Roman" w:hAnsi="Times New Roman" w:cs="Times New Roman"/>
        </w:rPr>
        <w:t>viimistlusdolokivi</w:t>
      </w:r>
      <w:proofErr w:type="spellEnd"/>
      <w:r>
        <w:rPr>
          <w:rFonts w:ascii="Times New Roman" w:hAnsi="Times New Roman" w:cs="Times New Roman"/>
        </w:rPr>
        <w:t xml:space="preserve">, ehitus- ja tehnoloogiline </w:t>
      </w:r>
      <w:proofErr w:type="spellStart"/>
      <w:r>
        <w:rPr>
          <w:rFonts w:ascii="Times New Roman" w:hAnsi="Times New Roman" w:cs="Times New Roman"/>
        </w:rPr>
        <w:t>lugjakivi</w:t>
      </w:r>
      <w:proofErr w:type="spellEnd"/>
      <w:r>
        <w:rPr>
          <w:rFonts w:ascii="Times New Roman" w:hAnsi="Times New Roman" w:cs="Times New Roman"/>
        </w:rPr>
        <w:t xml:space="preserve">, ehitus- ja täiteliiv, ehituskruus, meremuda, turvas) </w:t>
      </w:r>
      <w:r w:rsidRPr="00536557">
        <w:rPr>
          <w:rFonts w:ascii="Times New Roman" w:hAnsi="Times New Roman" w:cs="Times New Roman"/>
        </w:rPr>
        <w:t xml:space="preserve">varustuskindlus on Saare maakonnas piisav, erandiks on täitekruus. Samuti on probleem Ida-Saaremaa ja Muhu ehitusmaavaradega varustamine, mis jäävad peamiselt Lääne-Saaremaal asuvatest mäeeraldistest kaugele. Piirkonna peamiseks ehitusmaavarade allikaks on Koguva </w:t>
      </w:r>
      <w:proofErr w:type="spellStart"/>
      <w:r w:rsidRPr="00536557">
        <w:rPr>
          <w:rFonts w:ascii="Times New Roman" w:hAnsi="Times New Roman" w:cs="Times New Roman"/>
        </w:rPr>
        <w:t>dolokivikarjäär</w:t>
      </w:r>
      <w:proofErr w:type="spellEnd"/>
      <w:r w:rsidRPr="00536557">
        <w:rPr>
          <w:rFonts w:ascii="Times New Roman" w:hAnsi="Times New Roman" w:cs="Times New Roman"/>
        </w:rPr>
        <w:t>.</w:t>
      </w:r>
      <w:r>
        <w:rPr>
          <w:rFonts w:ascii="Times New Roman" w:hAnsi="Times New Roman" w:cs="Times New Roman"/>
        </w:rPr>
        <w:t xml:space="preserve"> </w:t>
      </w:r>
      <w:r>
        <w:rPr>
          <w:rStyle w:val="Allmrkuseviide"/>
          <w:rFonts w:ascii="Times New Roman" w:hAnsi="Times New Roman" w:cs="Times New Roman"/>
        </w:rPr>
        <w:footnoteReference w:id="38"/>
      </w:r>
    </w:p>
    <w:p w14:paraId="3D18F8C1" w14:textId="55F1B925" w:rsidR="00EF4F48" w:rsidRDefault="00EF4F48">
      <w:pPr>
        <w:spacing w:line="276" w:lineRule="auto"/>
        <w:rPr>
          <w:rFonts w:ascii="Times New Roman" w:hAnsi="Times New Roman" w:cs="Times New Roman"/>
        </w:rPr>
      </w:pPr>
      <w:r w:rsidRPr="00EF4F48">
        <w:rPr>
          <w:rFonts w:ascii="Times New Roman" w:hAnsi="Times New Roman" w:cs="Times New Roman"/>
        </w:rPr>
        <w:t xml:space="preserve">Tänapäeval on Muhu peamine loodusvara sealsed maastikud – nii külamiljööd kui rannad ja poollooduslikud maastikud, kus loodus ja ajalooline pärand on ühte põimunud, omades esteetilist, kultuuriajaloolist, ökoloogilist kui ka identiteediväärtust. Eriti kõrge </w:t>
      </w:r>
      <w:r w:rsidRPr="00EF4F48">
        <w:rPr>
          <w:rFonts w:ascii="Times New Roman" w:hAnsi="Times New Roman" w:cs="Times New Roman"/>
        </w:rPr>
        <w:lastRenderedPageBreak/>
        <w:t>maastikuväärtusega alasid on Eestis hakatud eristama nn väärtuslike maastikena. Väärtuslik maastik on mitmekesise maakasutuse ja taimestikuga ilus maastik, kus leidub nii kohalikku identiteeti loovaid ajaloolisi elemente kui sobivaid elupaiku erinevatele taimedele, loomadele ning teistele elusolenditele</w:t>
      </w:r>
      <w:r>
        <w:rPr>
          <w:rFonts w:ascii="Times New Roman" w:hAnsi="Times New Roman" w:cs="Times New Roman"/>
        </w:rPr>
        <w:t xml:space="preserve">. </w:t>
      </w:r>
    </w:p>
    <w:p w14:paraId="266DC7F0" w14:textId="2BFBA8E7" w:rsidR="00EF4F48" w:rsidRPr="00EF4F48" w:rsidRDefault="00EF4F48">
      <w:pPr>
        <w:spacing w:line="276" w:lineRule="auto"/>
        <w:rPr>
          <w:rFonts w:ascii="Times New Roman" w:hAnsi="Times New Roman" w:cs="Times New Roman"/>
        </w:rPr>
      </w:pPr>
      <w:r w:rsidRPr="00EF4F48">
        <w:rPr>
          <w:rFonts w:ascii="Times New Roman" w:hAnsi="Times New Roman" w:cs="Times New Roman"/>
        </w:rPr>
        <w:t xml:space="preserve">Ruhnu on klindisaar, mis kuulub Balti klindi aluspõhja kivimitesse murrutatud astangute süsteemi ja on üks väheseid selle klindi äratuntavaist, silmaga nähtavaist moodustistest. Saare suurimaks siseveekoguks on </w:t>
      </w:r>
      <w:proofErr w:type="spellStart"/>
      <w:r w:rsidRPr="00EF4F48">
        <w:rPr>
          <w:rFonts w:ascii="Times New Roman" w:hAnsi="Times New Roman" w:cs="Times New Roman"/>
        </w:rPr>
        <w:t>Haubjerre</w:t>
      </w:r>
      <w:proofErr w:type="spellEnd"/>
      <w:r w:rsidRPr="00EF4F48">
        <w:rPr>
          <w:rFonts w:ascii="Times New Roman" w:hAnsi="Times New Roman" w:cs="Times New Roman"/>
        </w:rPr>
        <w:t xml:space="preserve"> soos suurvee aegu tekkiv järv. Ruhnu loodust on kujundanud erilised klimaatilised ja hüdroloogilised tingimused. Tuultel on Ruhnu saarele väga suur mõju, palju on tormipäevi, mis on Ruhnut aegade jooksul laastanud. Kliima on mereline ja mandri-Eestist mõnevõrra pehmem. Ruhnus on registreeritud üle 180 linnuliigi ja umbes 540 kõrgema taime liiki.</w:t>
      </w:r>
      <w:r>
        <w:rPr>
          <w:rStyle w:val="Allmrkuseviide"/>
          <w:rFonts w:ascii="Times New Roman" w:hAnsi="Times New Roman" w:cs="Times New Roman"/>
        </w:rPr>
        <w:footnoteReference w:id="39"/>
      </w:r>
    </w:p>
    <w:p w14:paraId="6B312A87" w14:textId="77777777" w:rsidR="00536557" w:rsidRPr="00536557" w:rsidRDefault="00536557">
      <w:pPr>
        <w:spacing w:line="276" w:lineRule="auto"/>
        <w:rPr>
          <w:rFonts w:ascii="Times New Roman" w:eastAsia="Times New Roman" w:hAnsi="Times New Roman" w:cs="Times New Roman"/>
        </w:rPr>
      </w:pPr>
    </w:p>
    <w:p w14:paraId="520ED98A"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15" w:name="_Toc157420934"/>
      <w:r>
        <w:rPr>
          <w:rFonts w:ascii="Times New Roman" w:hAnsi="Times New Roman" w:cs="Times New Roman"/>
          <w:color w:val="7030A0"/>
          <w:sz w:val="28"/>
          <w:szCs w:val="28"/>
        </w:rPr>
        <w:t>1.2. Kalapüük</w:t>
      </w:r>
      <w:bookmarkEnd w:id="15"/>
    </w:p>
    <w:p w14:paraId="1EBC58C7" w14:textId="77777777" w:rsidR="008312AA" w:rsidRDefault="008312AA">
      <w:pPr>
        <w:spacing w:line="276" w:lineRule="auto"/>
        <w:rPr>
          <w:rFonts w:ascii="Times New Roman" w:eastAsia="Times New Roman" w:hAnsi="Times New Roman" w:cs="Times New Roman"/>
        </w:rPr>
      </w:pPr>
    </w:p>
    <w:p w14:paraId="3AA6955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Kalapüük jaguneb kalurkonna alusel traalpüügiks, rannapüügiks ja harrastuspüügiks.</w:t>
      </w:r>
    </w:p>
    <w:p w14:paraId="23BD3781"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Kalurkonnast rääkides tuleb vahet teha kalapüügiõiguse omanikul ja kutselisel kaluril. Kalapüügiõiguse omanikud on need, kelle vahel igal aastal jagatakse ära püügivõimalused (kui palju püügivahendeid kasutada võib) ning neile väljastatakse kaluri kalapüügiluba. Kalapüügiõiguse omanik ei pea ise tingimata kalur olema ja kaluri kutsetunnistust omama. Kaluri kalapüügiloale kantakse kalurid, kes omavad kaluri kutsetunnistust (rannakaluri IV astme kutsekvalifikatsioon kutseseaduse tähenduses) ning kes reaalselt teostavad püüki.</w:t>
      </w:r>
    </w:p>
    <w:p w14:paraId="2D07091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Allolevalt jooniselt on näha, et välja püütud kala kogused on teatavas langustrendis, seda eriti traalpüügis. Kõigis kalapüügi valdkondades on parimad aastad olnud 2018 ja 2019.</w:t>
      </w:r>
    </w:p>
    <w:p w14:paraId="78321B85" w14:textId="77777777" w:rsidR="00EA7744" w:rsidRDefault="00EA7744">
      <w:pPr>
        <w:spacing w:line="276" w:lineRule="auto"/>
        <w:rPr>
          <w:rFonts w:ascii="Times New Roman" w:eastAsia="Times New Roman" w:hAnsi="Times New Roman" w:cs="Times New Roman"/>
        </w:rPr>
      </w:pPr>
    </w:p>
    <w:p w14:paraId="01F54853"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716865FE" wp14:editId="4D1DB27D">
            <wp:extent cx="4981575" cy="2638425"/>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pic:cNvPicPr>
                      <a:picLocks noChangeAspect="1" noChangeArrowheads="1"/>
                    </pic:cNvPicPr>
                  </pic:nvPicPr>
                  <pic:blipFill>
                    <a:blip r:embed="rId18"/>
                    <a:stretch>
                      <a:fillRect/>
                    </a:stretch>
                  </pic:blipFill>
                  <pic:spPr bwMode="auto">
                    <a:xfrm>
                      <a:off x="0" y="0"/>
                      <a:ext cx="4981575" cy="2638425"/>
                    </a:xfrm>
                    <a:prstGeom prst="rect">
                      <a:avLst/>
                    </a:prstGeom>
                  </pic:spPr>
                </pic:pic>
              </a:graphicData>
            </a:graphic>
          </wp:inline>
        </w:drawing>
      </w:r>
    </w:p>
    <w:p w14:paraId="39E440C4"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lastRenderedPageBreak/>
        <w:t>Joonis 9: Püütud kalakogused püügiviiside kaupa Saare maakonnas, 2016-2022, tonnides (allikas: Põllumajandus- ja Toiduamet, Keskkonnaministeerium, Maaeluministeerium)</w:t>
      </w:r>
    </w:p>
    <w:p w14:paraId="049563EB" w14:textId="77777777" w:rsidR="008312AA" w:rsidRDefault="008312AA">
      <w:pPr>
        <w:spacing w:line="276" w:lineRule="auto"/>
        <w:rPr>
          <w:rFonts w:ascii="Times New Roman" w:eastAsia="Times New Roman" w:hAnsi="Times New Roman" w:cs="Times New Roman"/>
        </w:rPr>
      </w:pPr>
    </w:p>
    <w:p w14:paraId="7226E823" w14:textId="77777777"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16" w:name="_Toc157420935"/>
      <w:r w:rsidRPr="00C313E2">
        <w:rPr>
          <w:rFonts w:ascii="Times New Roman" w:hAnsi="Times New Roman" w:cs="Times New Roman"/>
          <w:color w:val="0E5C04"/>
        </w:rPr>
        <w:t>1.2.1. Traalpüük</w:t>
      </w:r>
      <w:bookmarkEnd w:id="16"/>
    </w:p>
    <w:p w14:paraId="59A488A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Traalpüügi osakaal Saare maakonna kalanduses aastatel 2016-2022 on olnud alates 2020. a langustrendis. Kui 2016 - 2019 püüti veel keskmiselt 10  000- 11 000  tonni, siis alates 2020. a on püügimahud jäänud 7000 -8000 tonni juurde. Traallaevadel on firmade kaupa ostetud ajalooline püügiõigus, mis väljendub kilu-räime ja tursa kvoodis. Ajalooline püügiõigus tagab kindluse investeerimisel ja kogu firma ülesehitamisel. Traallaevu on Saare maakonnas 5, ajalooline püügiõigus kokku 11 000 tonni (kvoot). Kogutulu kalapüügil koosneb traalpüügi ja kutselise kaluri tuludest. Traalpüügi peamisteks püügikaladeks on kilu ja räim. Väga vähesel määral ka tursk ning püügipiirkonnad asuvad nii Läänemere avaosas kui Liivi lahes. Siseriiklikult kokku lepituna eraldatakse räimekvoodist 70% traalpüügile, 30% rannapüügile. Enim kasutatavad lossimiskohad traalpüügil on Mõntu, Roomassaare, Veere ja Paldiski sadamad.</w:t>
      </w:r>
    </w:p>
    <w:p w14:paraId="181AD439" w14:textId="77777777" w:rsidR="008312AA" w:rsidRDefault="008312AA">
      <w:pPr>
        <w:spacing w:line="276" w:lineRule="auto"/>
        <w:rPr>
          <w:rFonts w:ascii="Times New Roman" w:eastAsia="Times New Roman" w:hAnsi="Times New Roman" w:cs="Times New Roman"/>
        </w:rPr>
      </w:pPr>
    </w:p>
    <w:p w14:paraId="584C3D9C" w14:textId="77777777"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17" w:name="_Toc157420936"/>
      <w:r w:rsidRPr="00C313E2">
        <w:rPr>
          <w:rFonts w:ascii="Times New Roman" w:hAnsi="Times New Roman" w:cs="Times New Roman"/>
          <w:color w:val="0E5C04"/>
        </w:rPr>
        <w:t>1.2.2. Harrastuspüük</w:t>
      </w:r>
      <w:bookmarkEnd w:id="17"/>
    </w:p>
    <w:p w14:paraId="7FE47EA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Harrastuskalapüügi võib jagada kolme gruppi:</w:t>
      </w:r>
    </w:p>
    <w:p w14:paraId="7BDAFB71" w14:textId="77777777" w:rsidR="008312AA" w:rsidRDefault="00000000">
      <w:pPr>
        <w:pStyle w:val="Loendilik"/>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tasuta õngepüük lihtkäsiõngega;</w:t>
      </w:r>
    </w:p>
    <w:p w14:paraId="1AED2227" w14:textId="77777777" w:rsidR="008312AA" w:rsidRDefault="00000000">
      <w:pPr>
        <w:pStyle w:val="Loendilik"/>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püük harrastuspüügiõiguse eest tasumise või soodustust tõendava dokumendi alusel;</w:t>
      </w:r>
    </w:p>
    <w:p w14:paraId="1643EEA3" w14:textId="77777777" w:rsidR="008312AA" w:rsidRDefault="00000000">
      <w:pPr>
        <w:pStyle w:val="Loendilik"/>
        <w:numPr>
          <w:ilvl w:val="0"/>
          <w:numId w:val="12"/>
        </w:numPr>
        <w:spacing w:line="276" w:lineRule="auto"/>
        <w:rPr>
          <w:rFonts w:ascii="Times New Roman" w:eastAsia="Times New Roman" w:hAnsi="Times New Roman" w:cs="Times New Roman"/>
        </w:rPr>
      </w:pPr>
      <w:r>
        <w:rPr>
          <w:rFonts w:ascii="Times New Roman" w:eastAsia="Times New Roman" w:hAnsi="Times New Roman" w:cs="Times New Roman"/>
        </w:rPr>
        <w:t>püük kalastuskaardi alusel.</w:t>
      </w:r>
    </w:p>
    <w:p w14:paraId="4726AD1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Harrastuspüügiga tegelevad väga erineva tausta ning vanusega inimesed.</w:t>
      </w:r>
    </w:p>
    <w:p w14:paraId="31CB4F4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Harrastuspüügi erisus võrreldes kutselisega on see, et harrastaja tohib püüda kala ainult enda tarbeks. Kalapüügiseaduse kohaselt on Eestis keelatud müüa või osta harrastuspüügil või õngepüügil püütud kala. Seega ei saa kasutada harrastuspüüki tulu teenimiseks. Et tõhustada </w:t>
      </w:r>
      <w:proofErr w:type="spellStart"/>
      <w:r>
        <w:rPr>
          <w:rFonts w:ascii="Times New Roman" w:eastAsia="Times New Roman" w:hAnsi="Times New Roman" w:cs="Times New Roman"/>
        </w:rPr>
        <w:t>püügiandmete</w:t>
      </w:r>
      <w:proofErr w:type="spellEnd"/>
      <w:r>
        <w:rPr>
          <w:rFonts w:ascii="Times New Roman" w:eastAsia="Times New Roman" w:hAnsi="Times New Roman" w:cs="Times New Roman"/>
        </w:rPr>
        <w:t xml:space="preserve"> esitamist, jõustus 2018. a </w:t>
      </w:r>
      <w:proofErr w:type="spellStart"/>
      <w:r>
        <w:rPr>
          <w:rFonts w:ascii="Times New Roman" w:eastAsia="Times New Roman" w:hAnsi="Times New Roman" w:cs="Times New Roman"/>
        </w:rPr>
        <w:t>kalapüügiseaduse</w:t>
      </w:r>
      <w:proofErr w:type="spellEnd"/>
      <w:r>
        <w:rPr>
          <w:rFonts w:ascii="Times New Roman" w:eastAsia="Times New Roman" w:hAnsi="Times New Roman" w:cs="Times New Roman"/>
        </w:rPr>
        <w:t xml:space="preserve"> muudatus, millega kehtestati kalastuskaardi ostmise automaatne keeld nendele kalastajatele, kes jätsid eelnenud aasta </w:t>
      </w:r>
      <w:proofErr w:type="spellStart"/>
      <w:r>
        <w:rPr>
          <w:rFonts w:ascii="Times New Roman" w:eastAsia="Times New Roman" w:hAnsi="Times New Roman" w:cs="Times New Roman"/>
        </w:rPr>
        <w:t>püügiaruande</w:t>
      </w:r>
      <w:proofErr w:type="spellEnd"/>
      <w:r>
        <w:rPr>
          <w:rFonts w:ascii="Times New Roman" w:eastAsia="Times New Roman" w:hAnsi="Times New Roman" w:cs="Times New Roman"/>
        </w:rPr>
        <w:t xml:space="preserve"> esitamata. Enne seda oli aruannete esitamine olnud </w:t>
      </w:r>
      <w:proofErr w:type="spellStart"/>
      <w:r>
        <w:rPr>
          <w:rFonts w:ascii="Times New Roman" w:eastAsia="Times New Roman" w:hAnsi="Times New Roman" w:cs="Times New Roman"/>
        </w:rPr>
        <w:t>üsna</w:t>
      </w:r>
      <w:proofErr w:type="spellEnd"/>
      <w:r>
        <w:rPr>
          <w:rFonts w:ascii="Times New Roman" w:eastAsia="Times New Roman" w:hAnsi="Times New Roman" w:cs="Times New Roman"/>
        </w:rPr>
        <w:t xml:space="preserve"> loid – umbes 40% kalastajatest jättis oma saagist teatamata. Muudatus oli väga tõhus, sest juba samal aastal langes esitamata jäetud aruannete protsent 13ni.</w:t>
      </w:r>
    </w:p>
    <w:p w14:paraId="5FAE382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Eesti oli Euroopa Liidus esimene riik, kes siseriiklikult selle nõude jõustas. Koheselt peale seda võttis ka uue seaduse muudatuse üle Euroopa Liit. Põhjus on selles, et harrastuspüük sai paljudele sissetuleku allikaks, püüti ja müüdi palju alamõõdulist kala. Selline tegevus ei ole pikas perspektiivis kalavarudele </w:t>
      </w:r>
      <w:proofErr w:type="spellStart"/>
      <w:r>
        <w:rPr>
          <w:rFonts w:ascii="Times New Roman" w:eastAsia="Times New Roman" w:hAnsi="Times New Roman" w:cs="Times New Roman"/>
        </w:rPr>
        <w:t>jätkusuutlik</w:t>
      </w:r>
      <w:proofErr w:type="spellEnd"/>
      <w:r>
        <w:rPr>
          <w:rFonts w:ascii="Times New Roman" w:eastAsia="Times New Roman" w:hAnsi="Times New Roman" w:cs="Times New Roman"/>
        </w:rPr>
        <w:t>.</w:t>
      </w:r>
    </w:p>
    <w:p w14:paraId="39AD21A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Eesti kalapüügiseaduses on enim püütud kaladele kehtestatud väljapüügi piirnormid päevas.  Antud meede aitab kaasa kogu kalavarude säästlikule kasutamisele. Saaremaa kalanduspiirkonnas on ametlikus statistikas kajastatud harrastuskalurite väljapüügid võrreldes teistega üsna väikesed, jäädes  aastatel 2016 - 2022 keskmiselt 30 ja 60 tonni ringi. See võib olla tingitud ka sellest, et püügiandmed jäetakse esitamata.</w:t>
      </w:r>
    </w:p>
    <w:p w14:paraId="41F21788" w14:textId="77777777" w:rsidR="008312AA" w:rsidRDefault="008312AA">
      <w:pPr>
        <w:spacing w:line="276" w:lineRule="auto"/>
        <w:rPr>
          <w:rFonts w:ascii="Times New Roman" w:eastAsia="Times New Roman" w:hAnsi="Times New Roman" w:cs="Times New Roman"/>
          <w:i/>
        </w:rPr>
      </w:pPr>
    </w:p>
    <w:p w14:paraId="7F7D97E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i/>
        </w:rPr>
        <w:t>Tabel 2. Saare maakonna kalastuskaartide arvudest ja saakidest aastatel 2016-2022 (allikas REM,  Kalavarude osakond)</w:t>
      </w:r>
    </w:p>
    <w:tbl>
      <w:tblPr>
        <w:tblW w:w="9026" w:type="dxa"/>
        <w:tblInd w:w="-100" w:type="dxa"/>
        <w:tblLayout w:type="fixed"/>
        <w:tblCellMar>
          <w:top w:w="100" w:type="dxa"/>
          <w:left w:w="100" w:type="dxa"/>
          <w:bottom w:w="100" w:type="dxa"/>
          <w:right w:w="100" w:type="dxa"/>
        </w:tblCellMar>
        <w:tblLook w:val="0600" w:firstRow="0" w:lastRow="0" w:firstColumn="0" w:lastColumn="0" w:noHBand="1" w:noVBand="1"/>
      </w:tblPr>
      <w:tblGrid>
        <w:gridCol w:w="2257"/>
        <w:gridCol w:w="2256"/>
        <w:gridCol w:w="2257"/>
        <w:gridCol w:w="2256"/>
      </w:tblGrid>
      <w:tr w:rsidR="008312AA" w14:paraId="7597D102" w14:textId="77777777">
        <w:trPr>
          <w:trHeight w:val="1193"/>
        </w:trPr>
        <w:tc>
          <w:tcPr>
            <w:tcW w:w="225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038FDB7"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Aasta</w:t>
            </w:r>
          </w:p>
        </w:tc>
        <w:tc>
          <w:tcPr>
            <w:tcW w:w="225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56A20EE"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Kalastuskaartide arv (sh jõevähi kalastuskaardid)</w:t>
            </w:r>
          </w:p>
        </w:tc>
        <w:tc>
          <w:tcPr>
            <w:tcW w:w="225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037E474C"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Kalasaagid (t)</w:t>
            </w:r>
          </w:p>
        </w:tc>
        <w:tc>
          <w:tcPr>
            <w:tcW w:w="2256"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E81D367" w14:textId="77777777" w:rsidR="008312AA" w:rsidRDefault="00000000">
            <w:pPr>
              <w:widowControl w:val="0"/>
              <w:spacing w:line="276" w:lineRule="auto"/>
              <w:rPr>
                <w:rFonts w:ascii="Times New Roman" w:eastAsia="Times New Roman" w:hAnsi="Times New Roman" w:cs="Times New Roman"/>
                <w:b/>
              </w:rPr>
            </w:pPr>
            <w:proofErr w:type="spellStart"/>
            <w:r>
              <w:rPr>
                <w:rFonts w:ascii="Times New Roman" w:eastAsia="Times New Roman" w:hAnsi="Times New Roman" w:cs="Times New Roman"/>
                <w:b/>
              </w:rPr>
              <w:t>Mõõdulised</w:t>
            </w:r>
            <w:proofErr w:type="spellEnd"/>
            <w:r>
              <w:rPr>
                <w:rFonts w:ascii="Times New Roman" w:eastAsia="Times New Roman" w:hAnsi="Times New Roman" w:cs="Times New Roman"/>
                <w:b/>
              </w:rPr>
              <w:t xml:space="preserve"> jõevähid (tk)</w:t>
            </w:r>
          </w:p>
        </w:tc>
      </w:tr>
      <w:tr w:rsidR="008312AA" w14:paraId="730B2E52"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5C3A3B93"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2016</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410C6E5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2917</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14F2B836" w14:textId="4E943AB2"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49</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3E919B9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11 912</w:t>
            </w:r>
          </w:p>
        </w:tc>
      </w:tr>
      <w:tr w:rsidR="008312AA" w14:paraId="6738B658"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0EFCF5A8"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2017</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1968D6D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3464</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6607DC43" w14:textId="1441BB78"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45</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5699D978"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17 450</w:t>
            </w:r>
          </w:p>
        </w:tc>
      </w:tr>
      <w:tr w:rsidR="008312AA" w14:paraId="07F0CFE5"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05B8417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2018</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08B315A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3332</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59521802" w14:textId="67E14B71"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64</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3D6FDFF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17 993</w:t>
            </w:r>
          </w:p>
        </w:tc>
      </w:tr>
      <w:tr w:rsidR="008312AA" w14:paraId="607A9728"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3C6435A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2019</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6B6AD048"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3997</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7BC55616" w14:textId="6799E1EE"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63</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5C84749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10 431</w:t>
            </w:r>
          </w:p>
        </w:tc>
      </w:tr>
      <w:tr w:rsidR="008312AA" w14:paraId="5A153D8D"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5A05B77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2020</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285D2E13"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8362</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19BD4574" w14:textId="06630977"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50</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0D1E2F9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9527</w:t>
            </w:r>
          </w:p>
        </w:tc>
      </w:tr>
      <w:tr w:rsidR="008312AA" w14:paraId="1CF82015"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BE727C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2021</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6DEF0504"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6896</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05A05BF9" w14:textId="31BB827B"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47</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3F51A1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7014</w:t>
            </w:r>
          </w:p>
        </w:tc>
      </w:tr>
      <w:tr w:rsidR="008312AA" w14:paraId="79E5A314"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5F3932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2022</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1C62257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6574</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7C44842C" w14:textId="491D808B"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37</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6B8F776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11 737</w:t>
            </w:r>
          </w:p>
        </w:tc>
      </w:tr>
      <w:tr w:rsidR="008312AA" w14:paraId="3F3AE56D" w14:textId="77777777">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9AE3AA9"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Kokku</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2C0D641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35 542</w:t>
            </w:r>
          </w:p>
        </w:tc>
        <w:tc>
          <w:tcPr>
            <w:tcW w:w="2257" w:type="dxa"/>
            <w:tcBorders>
              <w:top w:val="single" w:sz="8" w:space="0" w:color="000000"/>
              <w:left w:val="single" w:sz="8" w:space="0" w:color="000000"/>
              <w:bottom w:val="single" w:sz="8" w:space="0" w:color="000000"/>
              <w:right w:val="single" w:sz="8" w:space="0" w:color="000000"/>
            </w:tcBorders>
            <w:shd w:val="clear" w:color="auto" w:fill="auto"/>
          </w:tcPr>
          <w:p w14:paraId="18C5F2EB" w14:textId="41E8BE0F" w:rsidR="008312AA" w:rsidRDefault="00E35D84">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354</w:t>
            </w:r>
          </w:p>
        </w:tc>
        <w:tc>
          <w:tcPr>
            <w:tcW w:w="2256" w:type="dxa"/>
            <w:tcBorders>
              <w:top w:val="single" w:sz="8" w:space="0" w:color="000000"/>
              <w:left w:val="single" w:sz="8" w:space="0" w:color="000000"/>
              <w:bottom w:val="single" w:sz="8" w:space="0" w:color="000000"/>
              <w:right w:val="single" w:sz="8" w:space="0" w:color="000000"/>
            </w:tcBorders>
            <w:shd w:val="clear" w:color="auto" w:fill="auto"/>
          </w:tcPr>
          <w:p w14:paraId="7D04E10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86 064</w:t>
            </w:r>
          </w:p>
        </w:tc>
      </w:tr>
    </w:tbl>
    <w:p w14:paraId="51804C81" w14:textId="77777777" w:rsidR="008312AA" w:rsidRDefault="008312AA">
      <w:pPr>
        <w:spacing w:line="276" w:lineRule="auto"/>
        <w:rPr>
          <w:rFonts w:ascii="Times New Roman" w:eastAsia="Times New Roman" w:hAnsi="Times New Roman" w:cs="Times New Roman"/>
          <w:i/>
        </w:rPr>
      </w:pPr>
    </w:p>
    <w:p w14:paraId="4203DCC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Kuni 2019. a (k.a) müüdi nakkevõrgu kalastuskaarte kalendrikuu ja kalendrinädala kaupa. 2020. aastal müüdi nakkevõrgu kalastuskaarte ainult kalendrinädala kaupa ning alates 2021. aastast müüakse nakkevõrgu kalastuskaarte 7 päeva kaupa. Nende asjaolude tõttu ongi kalastuskaartide ostmise hulk suurenenud. Eelpool kirjeldatu ei puuduta püsiasustusega väikesaartele müüdavaid kalastuskaarte.</w:t>
      </w:r>
    </w:p>
    <w:p w14:paraId="2938EDE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Mõõduliste jõevähkide kontekstis tuleb arvestada asjaolu, et alates 2019. aastast on jõevähile kehtestatud ööpäevane väljapüügi limiit ning selle tõttu on jõevähi saagid kukkunud.</w:t>
      </w:r>
    </w:p>
    <w:p w14:paraId="080B47D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Kalastuskaarte on küll välja antud rohkem aga saagid ei ole olulisel määral tõusnud, võib öelda, et seis on viie aasta tagusel tasemel. Sama trend on näha ka jõevähkide osas. Harrastuspüügi osakaal rannapüügist on 8% (aastate 2016  -2022 kogused kokku tonnides).</w:t>
      </w:r>
    </w:p>
    <w:p w14:paraId="33D051FC" w14:textId="77777777" w:rsidR="008312AA" w:rsidRDefault="008312AA">
      <w:pPr>
        <w:spacing w:line="276" w:lineRule="auto"/>
        <w:rPr>
          <w:rFonts w:ascii="Times New Roman" w:eastAsia="Times New Roman" w:hAnsi="Times New Roman" w:cs="Times New Roman"/>
        </w:rPr>
      </w:pPr>
    </w:p>
    <w:p w14:paraId="59E5F794" w14:textId="77777777"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18" w:name="_Toc157420937"/>
      <w:r w:rsidRPr="00C313E2">
        <w:rPr>
          <w:rFonts w:ascii="Times New Roman" w:hAnsi="Times New Roman" w:cs="Times New Roman"/>
          <w:color w:val="0E5C04"/>
        </w:rPr>
        <w:t>1.2.3. Rannapüük</w:t>
      </w:r>
      <w:bookmarkEnd w:id="18"/>
    </w:p>
    <w:p w14:paraId="6657CA1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Rannapüük  Eestis toimub 12 meremiili ulatuses rannikust või kuni 20 m samasügavusjooneni (</w:t>
      </w:r>
      <w:r>
        <w:rPr>
          <w:rFonts w:ascii="Times New Roman" w:eastAsia="Times New Roman" w:hAnsi="Times New Roman" w:cs="Times New Roman"/>
          <w:highlight w:val="white"/>
        </w:rPr>
        <w:t>Kaluri kalapüügiluba annab õiguse kalapüügiks kutselise kalapüügi vahendiga merel kuni 20 meetri samasügavusjooneni. Kalapüügiseadus § 41 lg 1).</w:t>
      </w:r>
      <w:r>
        <w:rPr>
          <w:rFonts w:ascii="Times New Roman" w:eastAsia="Times New Roman" w:hAnsi="Times New Roman" w:cs="Times New Roman"/>
        </w:rPr>
        <w:t xml:space="preserve"> Peamisteks püügipiirkondadeks on </w:t>
      </w:r>
      <w:r>
        <w:rPr>
          <w:rFonts w:ascii="Times New Roman" w:eastAsia="Times New Roman" w:hAnsi="Times New Roman" w:cs="Times New Roman"/>
        </w:rPr>
        <w:lastRenderedPageBreak/>
        <w:t xml:space="preserve">Saaremaa lõunarannik (Liivi laht), Väinameri, Küdema laht ja </w:t>
      </w:r>
      <w:proofErr w:type="spellStart"/>
      <w:r>
        <w:rPr>
          <w:rFonts w:ascii="Times New Roman" w:eastAsia="Times New Roman" w:hAnsi="Times New Roman" w:cs="Times New Roman"/>
        </w:rPr>
        <w:t>Tagalaht</w:t>
      </w:r>
      <w:proofErr w:type="spellEnd"/>
      <w:r>
        <w:rPr>
          <w:rFonts w:ascii="Times New Roman" w:eastAsia="Times New Roman" w:hAnsi="Times New Roman" w:cs="Times New Roman"/>
        </w:rPr>
        <w:t xml:space="preserve">. Vähesel määral on lisandunud </w:t>
      </w:r>
      <w:proofErr w:type="spellStart"/>
      <w:r>
        <w:rPr>
          <w:rFonts w:ascii="Times New Roman" w:eastAsia="Times New Roman" w:hAnsi="Times New Roman" w:cs="Times New Roman"/>
        </w:rPr>
        <w:t>Papissaare</w:t>
      </w:r>
      <w:proofErr w:type="spellEnd"/>
      <w:r>
        <w:rPr>
          <w:rFonts w:ascii="Times New Roman" w:eastAsia="Times New Roman" w:hAnsi="Times New Roman" w:cs="Times New Roman"/>
        </w:rPr>
        <w:t xml:space="preserve"> ümbrus, Vilsandi lähimeri ja Harilaiu läänerannik.</w:t>
      </w:r>
    </w:p>
    <w:p w14:paraId="50F0F90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Kasutatavad püügivahendid on mõrrad ja võrgud. Kõigist väljaostetud püügiõigustest ca 40% püügivahendeid ei ole püügile asetatud. Räime saagid on drastiliselt vähenenud, seetõttu on ka seisevnootade arv püügil kümnetes kordades vähenenud. Lubatud püügivahendite arv on püsinud stabiilsena, v.a rivimõrd, mille piirarvu 2013. a Euroopa Nõukogu määrusega 50% vähendati. Lähiaastail on TÜ Eesti Mereinstituudi ettepanekul kavatsus kuni 50% rannakalurite püüniseid vähendada, mida aga kalurid õigeks ei pea. (allikas: TÜ Eesti Mereinstituut)</w:t>
      </w:r>
      <w:r>
        <w:rPr>
          <w:rStyle w:val="Allmrkuseviide"/>
          <w:rFonts w:ascii="Times New Roman" w:eastAsia="Times New Roman" w:hAnsi="Times New Roman" w:cs="Times New Roman"/>
        </w:rPr>
        <w:footnoteReference w:id="40"/>
      </w:r>
    </w:p>
    <w:p w14:paraId="478F24A4"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075550F0" wp14:editId="6F0EAD66">
            <wp:extent cx="5731510" cy="4483100"/>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a:picLocks noChangeAspect="1" noChangeArrowheads="1"/>
                    </pic:cNvPicPr>
                  </pic:nvPicPr>
                  <pic:blipFill>
                    <a:blip r:embed="rId19"/>
                    <a:stretch>
                      <a:fillRect/>
                    </a:stretch>
                  </pic:blipFill>
                  <pic:spPr bwMode="auto">
                    <a:xfrm>
                      <a:off x="0" y="0"/>
                      <a:ext cx="5731510" cy="4483100"/>
                    </a:xfrm>
                    <a:prstGeom prst="rect">
                      <a:avLst/>
                    </a:prstGeom>
                  </pic:spPr>
                </pic:pic>
              </a:graphicData>
            </a:graphic>
          </wp:inline>
        </w:drawing>
      </w:r>
    </w:p>
    <w:p w14:paraId="597D74E7"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10: Rannapüügi saagid Saare maakonnas, 2016-2022, tonnides (allikas: Põllumajandus- ja Toiduamet)</w:t>
      </w:r>
    </w:p>
    <w:p w14:paraId="3CFAAD2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Viimase seitsme aasta jooksul on Saaremaa kalanduspiirkonnas rannapüügil püütud kala kogused olnud kerges langustrendis: aastal 2016 püüti kokku 650 tonni kala, parim aasta oli 2017, kui püüti 736 tonni. Kehvem aasta oli 2021, mil väljapüük oli kõigest 482 tonni. Saare maakonna olulisim püügipiirkond on Liivi laht, kust püütakse üle poole kogu saagist. Ülejäänud kolme püügipiirkonna (Läänemere keskosa - 28-2, 29 ja </w:t>
      </w:r>
      <w:proofErr w:type="spellStart"/>
      <w:r>
        <w:rPr>
          <w:rFonts w:ascii="Times New Roman" w:eastAsia="Times New Roman" w:hAnsi="Times New Roman" w:cs="Times New Roman"/>
        </w:rPr>
        <w:t>siseveed</w:t>
      </w:r>
      <w:proofErr w:type="spellEnd"/>
      <w:r>
        <w:rPr>
          <w:rFonts w:ascii="Times New Roman" w:eastAsia="Times New Roman" w:hAnsi="Times New Roman" w:cs="Times New Roman"/>
        </w:rPr>
        <w:t xml:space="preserve"> - Nasva jõgi ja Mullutu laht) osakaal püügist on tunduvalt väiksem. Enim püütud kala on ahven, püük on aastate lõikes 140-206 tonnini. Ahvenapüük on ka majanduslikult kalurile soodus. Järgnevad lest 60-100 tonni ja </w:t>
      </w:r>
      <w:r>
        <w:rPr>
          <w:rFonts w:ascii="Times New Roman" w:eastAsia="Times New Roman" w:hAnsi="Times New Roman" w:cs="Times New Roman"/>
        </w:rPr>
        <w:lastRenderedPageBreak/>
        <w:t>tuulehaug 30-50 tonni. Kahanevas trendis on räimepüük kuna räime Saaremaa rannikumeres lihtsalt ei ole enam.</w:t>
      </w:r>
    </w:p>
    <w:p w14:paraId="77D11524"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211F1453" wp14:editId="405B67C7">
            <wp:extent cx="5745480" cy="264160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noChangeArrowheads="1"/>
                    </pic:cNvPicPr>
                  </pic:nvPicPr>
                  <pic:blipFill>
                    <a:blip r:embed="rId20"/>
                    <a:stretch>
                      <a:fillRect/>
                    </a:stretch>
                  </pic:blipFill>
                  <pic:spPr bwMode="auto">
                    <a:xfrm>
                      <a:off x="0" y="0"/>
                      <a:ext cx="5745480" cy="2641600"/>
                    </a:xfrm>
                    <a:prstGeom prst="rect">
                      <a:avLst/>
                    </a:prstGeom>
                  </pic:spPr>
                </pic:pic>
              </a:graphicData>
            </a:graphic>
          </wp:inline>
        </w:drawing>
      </w:r>
    </w:p>
    <w:p w14:paraId="2B2508D4" w14:textId="77777777" w:rsidR="008312AA" w:rsidRDefault="008312AA">
      <w:pPr>
        <w:spacing w:line="276" w:lineRule="auto"/>
        <w:rPr>
          <w:rFonts w:ascii="Times New Roman" w:eastAsia="Times New Roman" w:hAnsi="Times New Roman" w:cs="Times New Roman"/>
        </w:rPr>
      </w:pPr>
    </w:p>
    <w:p w14:paraId="46D08581"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 xml:space="preserve">Joonis 11: Rannakalanduse väljapüükide jaotus Saare maakonnas </w:t>
      </w:r>
      <w:proofErr w:type="spellStart"/>
      <w:r>
        <w:rPr>
          <w:rFonts w:ascii="Times New Roman" w:eastAsia="Times New Roman" w:hAnsi="Times New Roman" w:cs="Times New Roman"/>
          <w:i/>
        </w:rPr>
        <w:t>püügipiirkonniti</w:t>
      </w:r>
      <w:proofErr w:type="spellEnd"/>
      <w:r>
        <w:rPr>
          <w:rFonts w:ascii="Times New Roman" w:eastAsia="Times New Roman" w:hAnsi="Times New Roman" w:cs="Times New Roman"/>
          <w:i/>
        </w:rPr>
        <w:t>, 2016-2022, tonnides (allikas: Regionaal- ja Põllumajandusministeerium ja  Põllumajandus- ja Toiduamet)</w:t>
      </w:r>
    </w:p>
    <w:p w14:paraId="489E938F" w14:textId="77777777" w:rsidR="008312AA" w:rsidRDefault="008312AA">
      <w:pPr>
        <w:spacing w:line="276" w:lineRule="auto"/>
        <w:rPr>
          <w:rFonts w:ascii="Times New Roman" w:eastAsia="Times New Roman" w:hAnsi="Times New Roman" w:cs="Times New Roman"/>
        </w:rPr>
      </w:pPr>
    </w:p>
    <w:p w14:paraId="068FABCC" w14:textId="77777777"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19" w:name="_Toc157420938"/>
      <w:r w:rsidRPr="00C313E2">
        <w:rPr>
          <w:rFonts w:ascii="Times New Roman" w:hAnsi="Times New Roman" w:cs="Times New Roman"/>
          <w:color w:val="0E5C04"/>
        </w:rPr>
        <w:t>1.2.4. Kala esmakokkuostu hind</w:t>
      </w:r>
      <w:bookmarkEnd w:id="19"/>
    </w:p>
    <w:p w14:paraId="50BE523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 esmakokkuostu hind kujuneb nõudluse ja pakkumise suhtest. Kaladele nagu ahven, koha, haug - ületab nõudlus pakkumise.</w:t>
      </w:r>
    </w:p>
    <w:p w14:paraId="30655FDA"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Tabel 3. Püütud kalakoguste rahaline väärtus 2016-2022 (allikas: Põllumajandus- ja Toiduamet)</w:t>
      </w:r>
    </w:p>
    <w:tbl>
      <w:tblPr>
        <w:tblW w:w="5130" w:type="dxa"/>
        <w:tblInd w:w="-100" w:type="dxa"/>
        <w:tblLayout w:type="fixed"/>
        <w:tblCellMar>
          <w:top w:w="100" w:type="dxa"/>
          <w:left w:w="100" w:type="dxa"/>
          <w:bottom w:w="100" w:type="dxa"/>
          <w:right w:w="100" w:type="dxa"/>
        </w:tblCellMar>
        <w:tblLook w:val="0600" w:firstRow="0" w:lastRow="0" w:firstColumn="0" w:lastColumn="0" w:noHBand="1" w:noVBand="1"/>
      </w:tblPr>
      <w:tblGrid>
        <w:gridCol w:w="2566"/>
        <w:gridCol w:w="2564"/>
      </w:tblGrid>
      <w:tr w:rsidR="008312AA" w14:paraId="3C0EA9C1" w14:textId="77777777">
        <w:trPr>
          <w:trHeight w:val="442"/>
        </w:trPr>
        <w:tc>
          <w:tcPr>
            <w:tcW w:w="256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3C1AED6F"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Aasta</w:t>
            </w:r>
          </w:p>
        </w:tc>
        <w:tc>
          <w:tcPr>
            <w:tcW w:w="256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013A0D9"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Käive</w:t>
            </w:r>
          </w:p>
        </w:tc>
      </w:tr>
      <w:tr w:rsidR="008312AA" w14:paraId="12250D56" w14:textId="77777777">
        <w:trPr>
          <w:trHeight w:val="442"/>
        </w:trPr>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199333F2"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2016</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3F3C94CB"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496 304 €</w:t>
            </w:r>
          </w:p>
        </w:tc>
      </w:tr>
      <w:tr w:rsidR="008312AA" w14:paraId="33ED45AB"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327D4AB3"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2017</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0BA7802F"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559 952 €</w:t>
            </w:r>
          </w:p>
        </w:tc>
      </w:tr>
      <w:tr w:rsidR="008312AA" w14:paraId="16365F9F"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30968C9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2018</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1A9D0E32"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726 019 €</w:t>
            </w:r>
          </w:p>
        </w:tc>
      </w:tr>
      <w:tr w:rsidR="008312AA" w14:paraId="08C502B1"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3EFF06D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2019</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58B73DA7"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647 950 €</w:t>
            </w:r>
          </w:p>
        </w:tc>
      </w:tr>
      <w:tr w:rsidR="008312AA" w14:paraId="337978B0"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0904FDA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2020</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1F8459E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549 825 €</w:t>
            </w:r>
          </w:p>
        </w:tc>
      </w:tr>
      <w:tr w:rsidR="008312AA" w14:paraId="66F447E2"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5617D14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2021</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6AC371D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473 652 €</w:t>
            </w:r>
          </w:p>
        </w:tc>
      </w:tr>
      <w:tr w:rsidR="008312AA" w14:paraId="30ED79E4" w14:textId="77777777">
        <w:tc>
          <w:tcPr>
            <w:tcW w:w="2565" w:type="dxa"/>
            <w:tcBorders>
              <w:top w:val="single" w:sz="8" w:space="0" w:color="000000"/>
              <w:left w:val="single" w:sz="8" w:space="0" w:color="000000"/>
              <w:bottom w:val="single" w:sz="8" w:space="0" w:color="000000"/>
              <w:right w:val="single" w:sz="8" w:space="0" w:color="000000"/>
            </w:tcBorders>
            <w:shd w:val="clear" w:color="auto" w:fill="auto"/>
          </w:tcPr>
          <w:p w14:paraId="44769B11"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lastRenderedPageBreak/>
              <w:t>2022</w:t>
            </w:r>
          </w:p>
        </w:tc>
        <w:tc>
          <w:tcPr>
            <w:tcW w:w="2564" w:type="dxa"/>
            <w:tcBorders>
              <w:top w:val="single" w:sz="8" w:space="0" w:color="000000"/>
              <w:left w:val="single" w:sz="8" w:space="0" w:color="000000"/>
              <w:bottom w:val="single" w:sz="8" w:space="0" w:color="000000"/>
              <w:right w:val="single" w:sz="8" w:space="0" w:color="000000"/>
            </w:tcBorders>
            <w:shd w:val="clear" w:color="auto" w:fill="auto"/>
          </w:tcPr>
          <w:p w14:paraId="1527BF9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620 863 €</w:t>
            </w:r>
          </w:p>
        </w:tc>
      </w:tr>
    </w:tbl>
    <w:p w14:paraId="2169F39A" w14:textId="77777777" w:rsidR="008312AA" w:rsidRDefault="008312AA">
      <w:pPr>
        <w:spacing w:line="276" w:lineRule="auto"/>
        <w:rPr>
          <w:rFonts w:ascii="Times New Roman" w:eastAsia="Times New Roman" w:hAnsi="Times New Roman" w:cs="Times New Roman"/>
        </w:rPr>
      </w:pPr>
    </w:p>
    <w:p w14:paraId="78B3114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Ametlik statistika näitab, väljapüügi mahtude tugevat tõusu 2022. a. Allolevalt jooniselt on näha rannapüügist saadud tulu kalaliikide lõikes aastatel 2016-2022, enim tulu on kaluritele toonud ahvenapüük. Võrreldes eelmise perioodiga on üsnagi arvestatavas mahus püügikalana juurde tulnud ka säinas. Need on kalad, mis toovad kalurile põhisissetuleku.</w:t>
      </w:r>
    </w:p>
    <w:p w14:paraId="08AA51FF" w14:textId="77777777" w:rsidR="008312AA" w:rsidRDefault="008312AA">
      <w:pPr>
        <w:spacing w:line="276" w:lineRule="auto"/>
        <w:rPr>
          <w:rFonts w:ascii="Times New Roman" w:eastAsia="Times New Roman" w:hAnsi="Times New Roman" w:cs="Times New Roman"/>
        </w:rPr>
      </w:pPr>
    </w:p>
    <w:p w14:paraId="09185385"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0DA91CE8" wp14:editId="2BC69B11">
            <wp:extent cx="6376670" cy="3394710"/>
            <wp:effectExtent l="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a:picLocks noChangeAspect="1" noChangeArrowheads="1"/>
                    </pic:cNvPicPr>
                  </pic:nvPicPr>
                  <pic:blipFill>
                    <a:blip r:embed="rId21"/>
                    <a:stretch>
                      <a:fillRect/>
                    </a:stretch>
                  </pic:blipFill>
                  <pic:spPr bwMode="auto">
                    <a:xfrm>
                      <a:off x="0" y="0"/>
                      <a:ext cx="6376670" cy="3394710"/>
                    </a:xfrm>
                    <a:prstGeom prst="rect">
                      <a:avLst/>
                    </a:prstGeom>
                  </pic:spPr>
                </pic:pic>
              </a:graphicData>
            </a:graphic>
          </wp:inline>
        </w:drawing>
      </w:r>
    </w:p>
    <w:p w14:paraId="0548CB6B"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12: Rannakalanduse püügist saadud tulu jaotus Saare maakonnas kalaliikide lõikes 2016-2022, protsentides (allikas: Põllumajandus- ja Toiduamet)</w:t>
      </w:r>
    </w:p>
    <w:p w14:paraId="54B080E4" w14:textId="77777777" w:rsidR="008312AA" w:rsidRDefault="008312AA">
      <w:pPr>
        <w:spacing w:line="276" w:lineRule="auto"/>
        <w:rPr>
          <w:rFonts w:ascii="Times New Roman" w:eastAsia="Times New Roman" w:hAnsi="Times New Roman" w:cs="Times New Roman"/>
        </w:rPr>
      </w:pPr>
    </w:p>
    <w:p w14:paraId="124D8D70" w14:textId="77777777" w:rsidR="008312AA" w:rsidRPr="00C313E2" w:rsidRDefault="00000000" w:rsidP="00541032">
      <w:pPr>
        <w:pStyle w:val="Pealkiri3"/>
        <w:spacing w:line="276" w:lineRule="auto"/>
        <w:ind w:left="0" w:firstLine="0"/>
        <w:jc w:val="left"/>
        <w:rPr>
          <w:rFonts w:ascii="Times New Roman" w:hAnsi="Times New Roman" w:cs="Times New Roman"/>
          <w:color w:val="0E5C04"/>
        </w:rPr>
      </w:pPr>
      <w:bookmarkStart w:id="20" w:name="_heading=h.gawfg6evfrl9"/>
      <w:bookmarkStart w:id="21" w:name="_Toc157420939"/>
      <w:bookmarkEnd w:id="20"/>
      <w:r w:rsidRPr="00C313E2">
        <w:rPr>
          <w:rFonts w:ascii="Times New Roman" w:hAnsi="Times New Roman" w:cs="Times New Roman"/>
          <w:color w:val="0E5C04"/>
        </w:rPr>
        <w:t>1.2.5. Vesiviljelus</w:t>
      </w:r>
      <w:bookmarkEnd w:id="21"/>
    </w:p>
    <w:p w14:paraId="4437B6A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Vesiviljeluse all mõistetakse veeorganismide kasvatamist inimese poolt loodud ja osaliselt või täielikult reguleeritud kunstlikes tingimustes, kus toodang ületab veekogu loodusliku produktsiooni. Vesiviljelus jaguneb kasvatatavate organismide järgi kolme põhilisse rühma: selgroogsete veeloomade, selgrootute veeloomade ja veetaimede kasvatamine. Suurem osa Eesti kalakasvatuse toodangust tuleb magevee kasvandustest. Eesti ainuke meres paiknev väiksemastaapne sumbakasvandus koos eksperimentaalse karbikasvatusega asub Veere lähedal </w:t>
      </w:r>
      <w:proofErr w:type="spellStart"/>
      <w:r>
        <w:rPr>
          <w:rFonts w:ascii="Times New Roman" w:eastAsia="Times New Roman" w:hAnsi="Times New Roman" w:cs="Times New Roman"/>
        </w:rPr>
        <w:t>Tagalahes</w:t>
      </w:r>
      <w:proofErr w:type="spellEnd"/>
      <w:r>
        <w:rPr>
          <w:rFonts w:ascii="Times New Roman" w:eastAsia="Times New Roman" w:hAnsi="Times New Roman" w:cs="Times New Roman"/>
        </w:rPr>
        <w:t>.</w:t>
      </w:r>
    </w:p>
    <w:p w14:paraId="28675B5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2002. a vastu võetud EL-i vesiviljelussektori säästva arengu strateegias on sätestatud poliitilised suunised vesiviljeluse kasvu edendamiseks. See strateegia võimaldas oluliselt edendada EL-i vesiviljelustoodete keskkonnasäästlikkust, ohutust ja kvaliteeti. Eestis on head eeldused (sh kalavarud, vee- ja maaressurss) kalapüügi- ja vesiviljelustoodete tootmiseks. Kalandussektoris tegutsevatel ettevõtetel on pikaajalised traditsioonid, oskusteave ja kogemused ning on hakanud </w:t>
      </w:r>
      <w:r>
        <w:rPr>
          <w:rFonts w:ascii="Times New Roman" w:eastAsia="Times New Roman" w:hAnsi="Times New Roman" w:cs="Times New Roman"/>
        </w:rPr>
        <w:lastRenderedPageBreak/>
        <w:t>arendama ja kasutusele võtma uusi, kaasaegseimate tehnoloogiliste lahendustega töötlemisseadmeid ning keskkonnasõbralikke kasvatamise tehnoloogiaid. Käesoleval ajal tegeleb Eesti vesiviljelussektor peamiselt kalakasvatusega ning alternatiivsed, looduskeskkonda taastavad suunad sisuliselt puuduvad. Lisandumas on uued loodushoidlikud vesiviljeluse valdkonnad nagu merekarpide ja –vetikate kasvatamine. Kui looduslikes veekogudes paiknevad kalakasvandused üldjuhul suurendavad toitainete koormust keskkonnale, siis merevetikate ja -karpide kasvatamist kui merekeskkonnast toitaineid väljaviivat vesiviljelust peetakse mitmetes EL-i direktiivides keskkonnahoidliku majanduse lipulaevaks.</w:t>
      </w:r>
    </w:p>
    <w:p w14:paraId="202812A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vesiviljeluse põhisuunaks on jätkuvalt kaubakala kasvatus. Vesiviljelusega tegelevaid tegevusloaga ettevõtteid on piirkonnas 15 (kuus kalakasvatust ja 9 vähikasvatust) liikidest kasvatatakse peamiselt vikerforelli ja vähesel määral jõevähki. Suuremad kaubakala tootjad Saaremaal on OÜ </w:t>
      </w:r>
      <w:proofErr w:type="spellStart"/>
      <w:r>
        <w:rPr>
          <w:rFonts w:ascii="Times New Roman" w:eastAsia="Times New Roman" w:hAnsi="Times New Roman" w:cs="Times New Roman"/>
        </w:rPr>
        <w:t>AquaMyk</w:t>
      </w:r>
      <w:proofErr w:type="spellEnd"/>
      <w:r>
        <w:rPr>
          <w:rFonts w:ascii="Times New Roman" w:eastAsia="Times New Roman" w:hAnsi="Times New Roman" w:cs="Times New Roman"/>
        </w:rPr>
        <w:t xml:space="preserve"> (veeloas toodud kasutada lubatud sööda kogus 200 t), OÜ </w:t>
      </w:r>
      <w:proofErr w:type="spellStart"/>
      <w:r>
        <w:rPr>
          <w:rFonts w:ascii="Times New Roman" w:eastAsia="Times New Roman" w:hAnsi="Times New Roman" w:cs="Times New Roman"/>
        </w:rPr>
        <w:t>Ösel</w:t>
      </w:r>
      <w:proofErr w:type="spellEnd"/>
      <w:r>
        <w:rPr>
          <w:rFonts w:ascii="Times New Roman" w:eastAsia="Times New Roman" w:hAnsi="Times New Roman" w:cs="Times New Roman"/>
        </w:rPr>
        <w:t xml:space="preserve"> Harvest (veeloas toodud kasutada lubatud sööda kogus 150 t) ja OÜ Pähkla Vähi- ja Kalakasvatus (veeloas toodud kasutada lubatud sööda kogus 120 t).</w:t>
      </w:r>
      <w:r>
        <w:rPr>
          <w:rStyle w:val="Allmrkuseviide"/>
          <w:rFonts w:ascii="Times New Roman" w:eastAsia="Times New Roman" w:hAnsi="Times New Roman" w:cs="Times New Roman"/>
        </w:rPr>
        <w:footnoteReference w:id="41"/>
      </w:r>
      <w:r>
        <w:rPr>
          <w:rFonts w:ascii="Times New Roman" w:eastAsia="Times New Roman" w:hAnsi="Times New Roman" w:cs="Times New Roman"/>
        </w:rPr>
        <w:t xml:space="preserve"> Suurem osa vikerforelli toodangust turustatakse kas eluskalana või töödeldud kujul nii kohalikul turul kui ka Mandri-Eestisse. Saaremaa </w:t>
      </w:r>
      <w:proofErr w:type="spellStart"/>
      <w:r>
        <w:rPr>
          <w:rFonts w:ascii="Times New Roman" w:eastAsia="Times New Roman" w:hAnsi="Times New Roman" w:cs="Times New Roman"/>
        </w:rPr>
        <w:t>vesiviljelejad</w:t>
      </w:r>
      <w:proofErr w:type="spellEnd"/>
      <w:r>
        <w:rPr>
          <w:rFonts w:ascii="Times New Roman" w:eastAsia="Times New Roman" w:hAnsi="Times New Roman" w:cs="Times New Roman"/>
        </w:rPr>
        <w:t xml:space="preserve"> plaanivad suurendada tootmisvõimsusi, kasvatada ise rohkem asustusmaterjali, suurendada töödeldud kaubakala osakaalu müügis ja parendada tootmistehnoloogiaid.</w:t>
      </w:r>
    </w:p>
    <w:p w14:paraId="3C60D97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Perioodil 2014–2020+ oli Eesti vesiviljeluse sektoril oma arengustrateegia. Vastavalt koostatud strateegiale ja Eesti vesiviljeluse mitmeaastasele riiklikule tegevuskavale 2014-2020 oli vesiviljelussektori visiooniks saada liidriks Eesti vesiviljelustoodete siseturul ja edukaks eksportööriks Eesti viljelustingimustega sobivate ning kõrge </w:t>
      </w:r>
      <w:proofErr w:type="spellStart"/>
      <w:r>
        <w:rPr>
          <w:rFonts w:ascii="Times New Roman" w:eastAsia="Times New Roman" w:hAnsi="Times New Roman" w:cs="Times New Roman"/>
        </w:rPr>
        <w:t>välisnõudlusega</w:t>
      </w:r>
      <w:proofErr w:type="spellEnd"/>
      <w:r>
        <w:rPr>
          <w:rFonts w:ascii="Times New Roman" w:eastAsia="Times New Roman" w:hAnsi="Times New Roman" w:cs="Times New Roman"/>
        </w:rPr>
        <w:t xml:space="preserve"> liikide osas. 2017. a läbi viidud vesiviljeluse arengustrateegia täitmise analüüs näitas, et perioodil 2013-2016 on kalakasvatuste müügimahud kahekordistunud, kuid visioonis seatud eesmärkide saavutamiseks ei ole kasv olnud piisav. Peamiseks põhjuseks oli suuremahuliste investeeringute ebaõnnestumine või pidurdumine ja piiratud finantsilised võimalused.</w:t>
      </w:r>
    </w:p>
    <w:p w14:paraId="6A83EF5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Kuigi maakonnas tervikuna loodetakse uute (avamere) kalakasvatuste rajamisest suurt tulu</w:t>
      </w:r>
      <w:r>
        <w:rPr>
          <w:rStyle w:val="Allmrkuseviide"/>
          <w:rFonts w:ascii="Times New Roman" w:eastAsia="Times New Roman" w:hAnsi="Times New Roman" w:cs="Times New Roman"/>
        </w:rPr>
        <w:footnoteReference w:id="42"/>
      </w:r>
      <w:r>
        <w:rPr>
          <w:rFonts w:ascii="Times New Roman" w:eastAsia="Times New Roman" w:hAnsi="Times New Roman" w:cs="Times New Roman"/>
        </w:rPr>
        <w:t xml:space="preserve">, tuleb sellesse ettevõtmisesse suhtuda teatud ettevaatusega, kuna eelnevad praktikad ja tegevusanalüüsid on näidanud, et vaatamata suurtele investeeringutele ei ole suudetud planeeritud tegevusi soovitud tasemel ellu viia. Samuti võivad avamere kalakasvatused anda oma negatiivse panuse Läänemere keskkonnaseisundile. Eestimaa Looduse Fondi säästliku kalanduse ekspert Joonas Plaan on oma ettekandes “Avamere kalakasvatuste võimalik keskkonnamõju” juhtinud tähelepanu kalafarmide loomisega kaasnevatele võimalikele negatiivsetele keskkonnamõjudele. Läänemere </w:t>
      </w:r>
      <w:proofErr w:type="spellStart"/>
      <w:r>
        <w:rPr>
          <w:rFonts w:ascii="Times New Roman" w:eastAsia="Times New Roman" w:hAnsi="Times New Roman" w:cs="Times New Roman"/>
        </w:rPr>
        <w:t>eutrofeerumine</w:t>
      </w:r>
      <w:proofErr w:type="spellEnd"/>
      <w:r>
        <w:rPr>
          <w:rFonts w:ascii="Times New Roman" w:eastAsia="Times New Roman" w:hAnsi="Times New Roman" w:cs="Times New Roman"/>
        </w:rPr>
        <w:t xml:space="preserve"> on probleem nr 1, mõjutades ökosüsteemi, kalade heaolu, kõikide loomade heaolu ja kaudselt Läänemere ääres elavate inimeste heaolu. Eesti mereala koondhinnang </w:t>
      </w:r>
      <w:proofErr w:type="spellStart"/>
      <w:r>
        <w:rPr>
          <w:rFonts w:ascii="Times New Roman" w:eastAsia="Times New Roman" w:hAnsi="Times New Roman" w:cs="Times New Roman"/>
        </w:rPr>
        <w:t>eutrofeerumise</w:t>
      </w:r>
      <w:proofErr w:type="spellEnd"/>
      <w:r>
        <w:rPr>
          <w:rFonts w:ascii="Times New Roman" w:eastAsia="Times New Roman" w:hAnsi="Times New Roman" w:cs="Times New Roman"/>
        </w:rPr>
        <w:t xml:space="preserve"> valdkonnas on halb (skaalal väga hea, hea, kesine, halb, väga halb). Vaadates otsa erinevatele uuringutele ja keskkonnamõju hinnangute eeluuringutele ja keskkonnamõju hinnangutele endile, siis mõjutab avamere </w:t>
      </w:r>
      <w:r>
        <w:rPr>
          <w:rFonts w:ascii="Times New Roman" w:eastAsia="Times New Roman" w:hAnsi="Times New Roman" w:cs="Times New Roman"/>
        </w:rPr>
        <w:lastRenderedPageBreak/>
        <w:t xml:space="preserve">kalakasvatuste loomine kõige enam vee kvaliteeti ehk siis seda kui palju hakkab kalakasvatustest lämmastikku ja fosforit ehk </w:t>
      </w:r>
      <w:proofErr w:type="spellStart"/>
      <w:r>
        <w:rPr>
          <w:rFonts w:ascii="Times New Roman" w:eastAsia="Times New Roman" w:hAnsi="Times New Roman" w:cs="Times New Roman"/>
        </w:rPr>
        <w:t>eutrofeerumist</w:t>
      </w:r>
      <w:proofErr w:type="spellEnd"/>
      <w:r>
        <w:rPr>
          <w:rFonts w:ascii="Times New Roman" w:eastAsia="Times New Roman" w:hAnsi="Times New Roman" w:cs="Times New Roman"/>
        </w:rPr>
        <w:t xml:space="preserve">  tekitavaid osakesi Läänemerre jõudma.</w:t>
      </w:r>
    </w:p>
    <w:p w14:paraId="6282BF0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Joonas Plaan tõstatab küsimuse, mis on täna mõju veekvaliteedile aja- ja punktkoormus allikatest Lääne-Eesti vesikonnas ehk seal, kus täna enamus kalakasvatusi on planeeritud? Lämmastikku tekib aastas 7790 tonni, fosforit 173 tonni. Tegu on otseselt inimtegevusest tekkiva toitainekoormusega, mis mõjutab Läänemerd. Kui panna siia kõrvale kavandatavatest kalakasvatustest lisanduv toitainehulk, siis Keskkonnaministeeriumi hinnangutel, kui võtta arvesse, et kõik planeeringud teostuksid, siis me näeme, et väga suur hulk juba täna olemasolevast koormusest lisandub juba olemasolevate kalakasvatuste raames. See on kindlasti üks asi, mis puhul tuleb mõelda, et kas ja mis moel me peaksime edasi liikuma nende planeeringutega ja kas see on siiski üldse mõistlik ühiskonna tarbeks olukorras, kus Läänemere olukord on piisavalt halb, kus </w:t>
      </w:r>
      <w:proofErr w:type="spellStart"/>
      <w:r>
        <w:rPr>
          <w:rFonts w:ascii="Times New Roman" w:eastAsia="Times New Roman" w:hAnsi="Times New Roman" w:cs="Times New Roman"/>
        </w:rPr>
        <w:t>eutrofeerumine</w:t>
      </w:r>
      <w:proofErr w:type="spellEnd"/>
      <w:r>
        <w:rPr>
          <w:rFonts w:ascii="Times New Roman" w:eastAsia="Times New Roman" w:hAnsi="Times New Roman" w:cs="Times New Roman"/>
        </w:rPr>
        <w:t xml:space="preserve"> on väga suur probleem.</w:t>
      </w:r>
    </w:p>
    <w:p w14:paraId="4CE6DC7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Võrreldes avamerekalakasvatustega on Eestis ajalooliselt maismaa kalakasvatusi päris pikalt arendatud ja aja jooksul on nad keskkonna seisukohalt muutunud märksa paremaks ja tõhusamaks.</w:t>
      </w:r>
      <w:r>
        <w:rPr>
          <w:rStyle w:val="Allmrkuseviide"/>
          <w:rFonts w:ascii="Times New Roman" w:eastAsia="Times New Roman" w:hAnsi="Times New Roman" w:cs="Times New Roman"/>
        </w:rPr>
        <w:footnoteReference w:id="43"/>
      </w:r>
    </w:p>
    <w:p w14:paraId="4FA38250" w14:textId="77777777" w:rsidR="008312AA" w:rsidRDefault="008312AA">
      <w:pPr>
        <w:spacing w:line="276" w:lineRule="auto"/>
        <w:rPr>
          <w:rFonts w:ascii="Times New Roman" w:eastAsia="Times New Roman" w:hAnsi="Times New Roman" w:cs="Times New Roman"/>
        </w:rPr>
      </w:pPr>
    </w:p>
    <w:p w14:paraId="4ECB17CB"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22" w:name="_Toc157420940"/>
      <w:r>
        <w:rPr>
          <w:rFonts w:ascii="Times New Roman" w:hAnsi="Times New Roman" w:cs="Times New Roman"/>
          <w:color w:val="7030A0"/>
          <w:sz w:val="28"/>
          <w:szCs w:val="28"/>
        </w:rPr>
        <w:t>1.3. Kalavarud</w:t>
      </w:r>
      <w:bookmarkEnd w:id="22"/>
    </w:p>
    <w:p w14:paraId="605CB3B1" w14:textId="77777777" w:rsidR="008312AA" w:rsidRDefault="008312AA">
      <w:pPr>
        <w:spacing w:line="276" w:lineRule="auto"/>
        <w:ind w:left="576"/>
        <w:rPr>
          <w:rFonts w:ascii="Times New Roman" w:eastAsia="Times New Roman" w:hAnsi="Times New Roman" w:cs="Times New Roman"/>
        </w:rPr>
      </w:pPr>
    </w:p>
    <w:p w14:paraId="5F666B2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Eesti vetes elutseb hinnanguliselt 75 kalaliiki, kellest enamik on mageveekalad, poolsiirdekalad (näiteks vimb, säinas) või siirdekalad (lõhe, meriforell, angerjas). Merekalu on Eesti rannikuvees umbes 30 liiki, kuid kuna Eestit ümbritsev meri on riimveeline, sobib see elukeskkonnana hästi ka paljudele mageveekaladele.</w:t>
      </w:r>
    </w:p>
    <w:p w14:paraId="772ADAC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Suurem osa kutselisest kalapüügist on rahvusvaheliselt reguleeritud. Läänemere püügimahtude arvestamisel tehakse vahet rändavate ja paiksemate kalade vahel. Rändavatele kalaliikidele (kilu, räim, tursk, lõhe) kehtestab püügikvoodid Euroopa Liidu Nõukogu, paiksemad kalaliigid (ahven, koha jt) on riigi enda majandada. Keskkonnaministri vastutusalasse kuulub EL kalavarusid puudutavate teemade osas põllumajandus- ja kalandusnõukogu istung. Eestis jaguneb kalanduse korraldus nelja asutuse vahel:</w:t>
      </w:r>
    </w:p>
    <w:p w14:paraId="4217723C" w14:textId="77777777" w:rsidR="008312AA" w:rsidRDefault="00000000">
      <w:pPr>
        <w:pStyle w:val="Loendilik"/>
        <w:numPr>
          <w:ilvl w:val="0"/>
          <w:numId w:val="23"/>
        </w:numPr>
        <w:spacing w:line="276" w:lineRule="auto"/>
        <w:rPr>
          <w:rFonts w:ascii="Times New Roman" w:eastAsia="Times New Roman" w:hAnsi="Times New Roman" w:cs="Times New Roman"/>
        </w:rPr>
      </w:pPr>
      <w:r>
        <w:rPr>
          <w:rFonts w:ascii="Times New Roman" w:eastAsia="Times New Roman" w:hAnsi="Times New Roman" w:cs="Times New Roman"/>
        </w:rPr>
        <w:t>Keskkonnaministeerium korraldab kalavarude kaitse ja kasutamise poliitika ettevalmistamist ja elluviimist, sh kalavarude taastootmist ning kude- ja elupaikade kaitset ja taastamist ning annab ka lube teaduslikeks uuringuteks ja eriotstarbeliseks kalapüügiks;</w:t>
      </w:r>
    </w:p>
    <w:p w14:paraId="18864A55" w14:textId="77777777" w:rsidR="008312AA" w:rsidRDefault="00000000">
      <w:pPr>
        <w:pStyle w:val="Loendilik"/>
        <w:numPr>
          <w:ilvl w:val="0"/>
          <w:numId w:val="23"/>
        </w:numPr>
        <w:spacing w:line="276" w:lineRule="auto"/>
        <w:rPr>
          <w:rFonts w:ascii="Times New Roman" w:eastAsia="Times New Roman" w:hAnsi="Times New Roman" w:cs="Times New Roman"/>
        </w:rPr>
      </w:pPr>
      <w:r>
        <w:rPr>
          <w:rFonts w:ascii="Times New Roman" w:eastAsia="Times New Roman" w:hAnsi="Times New Roman" w:cs="Times New Roman"/>
        </w:rPr>
        <w:t>Maaeluministeeriumi valdkonnad on kalanduse turukorraldussüsteemi arendamine, struktuuritoetuste ja riigiabi andmine, vesiviljelussektori korraldamine, kutselise kalapüügi korraldamisega seotud poliitika kujundamine;</w:t>
      </w:r>
    </w:p>
    <w:p w14:paraId="72DE4CE2" w14:textId="77777777" w:rsidR="008312AA" w:rsidRDefault="00000000">
      <w:pPr>
        <w:pStyle w:val="Loendilik"/>
        <w:numPr>
          <w:ilvl w:val="0"/>
          <w:numId w:val="23"/>
        </w:numPr>
        <w:spacing w:line="276" w:lineRule="auto"/>
        <w:rPr>
          <w:rFonts w:ascii="Times New Roman" w:eastAsia="Times New Roman" w:hAnsi="Times New Roman" w:cs="Times New Roman"/>
        </w:rPr>
      </w:pPr>
      <w:r>
        <w:rPr>
          <w:rFonts w:ascii="Times New Roman" w:eastAsia="Times New Roman" w:hAnsi="Times New Roman" w:cs="Times New Roman"/>
        </w:rPr>
        <w:t>Põllumajandus- ja Toiduamet tegeleb kutselise kalapüügi korraldusega, väljastades kutselise kalapüügi lube ning pidades kalalaevade riiklikku registrit ja püügiarvestust.</w:t>
      </w:r>
    </w:p>
    <w:p w14:paraId="5538682C" w14:textId="77777777" w:rsidR="008312AA" w:rsidRDefault="00000000">
      <w:pPr>
        <w:pStyle w:val="Loendilik"/>
        <w:numPr>
          <w:ilvl w:val="0"/>
          <w:numId w:val="23"/>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Keskkonnaamet </w:t>
      </w:r>
      <w:r>
        <w:t xml:space="preserve">annab </w:t>
      </w:r>
      <w:r>
        <w:rPr>
          <w:rFonts w:ascii="Times New Roman" w:hAnsi="Times New Roman" w:cs="Times New Roman"/>
        </w:rPr>
        <w:t xml:space="preserve">välja kalastuskaarte ja kogub harrastuspüügi andmeid ning teeb järelevalvet kalapüügi üle. </w:t>
      </w:r>
      <w:r>
        <w:rPr>
          <w:rStyle w:val="Allmrkuseviide"/>
          <w:rFonts w:eastAsia="Times New Roman"/>
        </w:rPr>
        <w:footnoteReference w:id="44"/>
      </w:r>
    </w:p>
    <w:p w14:paraId="7001336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Tartu Ülikooli Eesti Mereinstituudi poolt 2019. a koostatud kalavarude uuringu (</w:t>
      </w:r>
      <w:r>
        <w:rPr>
          <w:rFonts w:ascii="Times New Roman" w:eastAsia="Times New Roman" w:hAnsi="Times New Roman" w:cs="Times New Roman"/>
          <w:i/>
        </w:rPr>
        <w:t>Eesti kalandussektori riikliku töökava täitmine ja analüüs, teadusvaatlejate paigutamine eesti lipu all sõitvatele kalalaevadele ning teadussoovituste koostamine kalavarude haldamiseks 2018- 2019 aastal)</w:t>
      </w:r>
      <w:r>
        <w:rPr>
          <w:rFonts w:ascii="Times New Roman" w:eastAsia="Times New Roman" w:hAnsi="Times New Roman" w:cs="Times New Roman"/>
        </w:rPr>
        <w:t xml:space="preserve"> hinnangul on kalavaru Saaremaa lõunarannikul Liivi lahes viimastel aastatel püsinud küllaltki stabiilsel tasemel. Ahvena varu Liivi lahes on piirkonniti vähenenud, kuid Liivi lahe kogusaak, kui Pärnu laht välja jätta, oli kõrgem kui 2007-2018 keskmine. Ahven on kudealade suhtes vähem nõudlik kui mitmed teised töönduslikult olulised mageveeliigid (säinas, haug, särg jt.). Nimetatud liikidele on kudealadena väga olulised merega seotud lõukad nagu Mullutu laht, Suurlaht, Linnulaht, </w:t>
      </w:r>
      <w:proofErr w:type="spellStart"/>
      <w:r>
        <w:rPr>
          <w:rFonts w:ascii="Times New Roman" w:eastAsia="Times New Roman" w:hAnsi="Times New Roman" w:cs="Times New Roman"/>
        </w:rPr>
        <w:t>Vägara</w:t>
      </w:r>
      <w:proofErr w:type="spellEnd"/>
      <w:r>
        <w:rPr>
          <w:rFonts w:ascii="Times New Roman" w:eastAsia="Times New Roman" w:hAnsi="Times New Roman" w:cs="Times New Roman"/>
        </w:rPr>
        <w:t xml:space="preserve"> laht, Laidevahe laht, </w:t>
      </w:r>
      <w:proofErr w:type="spellStart"/>
      <w:r>
        <w:rPr>
          <w:rFonts w:ascii="Times New Roman" w:eastAsia="Times New Roman" w:hAnsi="Times New Roman" w:cs="Times New Roman"/>
        </w:rPr>
        <w:t>Oessaare</w:t>
      </w:r>
      <w:proofErr w:type="spellEnd"/>
      <w:r>
        <w:rPr>
          <w:rFonts w:ascii="Times New Roman" w:eastAsia="Times New Roman" w:hAnsi="Times New Roman" w:cs="Times New Roman"/>
        </w:rPr>
        <w:t xml:space="preserve"> laht, </w:t>
      </w:r>
      <w:proofErr w:type="spellStart"/>
      <w:r>
        <w:rPr>
          <w:rFonts w:ascii="Times New Roman" w:eastAsia="Times New Roman" w:hAnsi="Times New Roman" w:cs="Times New Roman"/>
        </w:rPr>
        <w:t>Poka</w:t>
      </w:r>
      <w:proofErr w:type="spellEnd"/>
      <w:r>
        <w:rPr>
          <w:rFonts w:ascii="Times New Roman" w:eastAsia="Times New Roman" w:hAnsi="Times New Roman" w:cs="Times New Roman"/>
        </w:rPr>
        <w:t xml:space="preserve"> laht, </w:t>
      </w:r>
      <w:proofErr w:type="spellStart"/>
      <w:r>
        <w:rPr>
          <w:rFonts w:ascii="Times New Roman" w:eastAsia="Times New Roman" w:hAnsi="Times New Roman" w:cs="Times New Roman"/>
        </w:rPr>
        <w:t>Aenga</w:t>
      </w:r>
      <w:proofErr w:type="spellEnd"/>
      <w:r>
        <w:rPr>
          <w:rFonts w:ascii="Times New Roman" w:eastAsia="Times New Roman" w:hAnsi="Times New Roman" w:cs="Times New Roman"/>
        </w:rPr>
        <w:t xml:space="preserve"> laht, </w:t>
      </w:r>
      <w:proofErr w:type="spellStart"/>
      <w:r>
        <w:rPr>
          <w:rFonts w:ascii="Times New Roman" w:eastAsia="Times New Roman" w:hAnsi="Times New Roman" w:cs="Times New Roman"/>
        </w:rPr>
        <w:t>Põldealune</w:t>
      </w:r>
      <w:proofErr w:type="spellEnd"/>
      <w:r>
        <w:rPr>
          <w:rFonts w:ascii="Times New Roman" w:eastAsia="Times New Roman" w:hAnsi="Times New Roman" w:cs="Times New Roman"/>
        </w:rPr>
        <w:t xml:space="preserve"> laht jt. Tõenäoliselt on ökoloogilised tingimused mõnedel kudealadel muutunud osadele liikidele paljunemiseks ebasoodsamaks. Võimalikke limiteerivaid faktoreid võib olla mitmeid, nagu marja, vastsete või noorkalade </w:t>
      </w:r>
      <w:proofErr w:type="spellStart"/>
      <w:r>
        <w:rPr>
          <w:rFonts w:ascii="Times New Roman" w:eastAsia="Times New Roman" w:hAnsi="Times New Roman" w:cs="Times New Roman"/>
        </w:rPr>
        <w:t>ellujäämus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kiskluse</w:t>
      </w:r>
      <w:proofErr w:type="spellEnd"/>
      <w:r>
        <w:rPr>
          <w:rFonts w:ascii="Times New Roman" w:eastAsia="Times New Roman" w:hAnsi="Times New Roman" w:cs="Times New Roman"/>
        </w:rPr>
        <w:t xml:space="preserve"> või toidu konkurentsi tõttu, vastsetele vajaliku toidu puudumine jne. Viimased andmed näitavad siiski positiivseid trende mitmete mageveeliikide arvukuses ja saakides nagu haug, säinas, särg jt., millele on ilmselt kaasaaidanud osade kudealade taastamine.</w:t>
      </w:r>
    </w:p>
    <w:p w14:paraId="791CF07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lääneranniku rannaäärsetes vetes domineerib ihtüoloogiliste seirepüükide saagis ülekaalukalt lest. Teised olulisemad liigid on ahven ja särg, mõnel aastal on ka räime arvukus</w:t>
      </w:r>
    </w:p>
    <w:p w14:paraId="664127F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kõrge. Rannakalandusele olulistest liikidest on avamerelises piirkonnas hetkel rahuldavas seisus vaid lestavaru, kuid ka see on languses. Avamerega piirneval läänerannikul langes töönduslik lestasaak 2018. aastal aastate rea 2007-2018 madalaimaks. Endiselt on kesises seisus ahvenavaru, kuigi viimastel aastatel on tekkinud ka tugevamaid põlvkondi. Ka teiste rannakaluritele oluliste liikide (haug, siig, säinas jt.) varud on endiselt madalseisus, kuigi neist viimane on näidanud viimastel aastatel paranemise märke. Rannakalanduse tulususe tõusu kalavarude olulise suurenemise läbi ei ole lähiaastatel oodata. Samas on mõnede liikide, nagu tuulehaug ja meriforell saagid paranenud. Ilmselt tuleks selles piirkonnas ka edaspidi pöörata eelkõige tähelepanu mageveekalade koelmutel toimuvale, kuna arvestatavaid ahvena-, haugi ja säinapõlvkondi moodustub väga harva. Merisiia saagikus oli kõrge vaid aastatel 2001-2002, edasi on saagikus püsinud stabiilselt madalana. Selle liigi jaoks on ilmselt üheks olulisemaks probleemiks sigimiseks sobilike alade vähesus: ajalooliste kudealade täiskasvamine (s.t. marja arenguks sobilike alade vähenemine). Ka selles piirkonnas domineerivad suvistes püükides Soome päritolu siiad.</w:t>
      </w:r>
      <w:r>
        <w:rPr>
          <w:rStyle w:val="Allmrkuseviide"/>
          <w:rFonts w:ascii="Times New Roman" w:eastAsia="Times New Roman" w:hAnsi="Times New Roman" w:cs="Times New Roman"/>
        </w:rPr>
        <w:footnoteReference w:id="45"/>
      </w:r>
    </w:p>
    <w:p w14:paraId="6CA6435B" w14:textId="77777777"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rPr>
        <w:t xml:space="preserve">Kalavarude jätkuvas langustrendis ei saa süüdistada ainult kutselist kalapüüki, vaid seda mõjutavad ka muud faktorid nagu hallhülged, kormoranid, parasiidid, merekeskkonna reostus jms. Ka eelmainitud Eesti Mereinstituudi poolt koostatud kalavarude ülevaates on ära märgitud muuhulgas: </w:t>
      </w:r>
      <w:r>
        <w:rPr>
          <w:rFonts w:ascii="Times New Roman" w:eastAsia="Times New Roman" w:hAnsi="Times New Roman" w:cs="Times New Roman"/>
          <w:i/>
        </w:rPr>
        <w:t xml:space="preserve">“Angerjavaru on halvas seisus nii Läänemeres kui Euroopas tervikuna. Läänemerre jõudvate klaasangerjate arvukus on endiselt väga väike. Klaasangerja taastootmisindeks vastas 2018. aastal vaid 2,1 protsendile Põhjamere ja 10,1 protsendile teiste </w:t>
      </w:r>
      <w:r>
        <w:rPr>
          <w:rFonts w:ascii="Times New Roman" w:eastAsia="Times New Roman" w:hAnsi="Times New Roman" w:cs="Times New Roman"/>
          <w:i/>
        </w:rPr>
        <w:lastRenderedPageBreak/>
        <w:t>Euroopa piirkondade keskmisest tasemest võrreldes perioodiga 1960-1979. Paigaangerja (</w:t>
      </w:r>
      <w:proofErr w:type="spellStart"/>
      <w:r>
        <w:rPr>
          <w:rFonts w:ascii="Times New Roman" w:eastAsia="Times New Roman" w:hAnsi="Times New Roman" w:cs="Times New Roman"/>
          <w:i/>
        </w:rPr>
        <w:t>yellow</w:t>
      </w:r>
      <w:proofErr w:type="spellEnd"/>
      <w:r>
        <w:rPr>
          <w:rFonts w:ascii="Times New Roman" w:eastAsia="Times New Roman" w:hAnsi="Times New Roman" w:cs="Times New Roman"/>
          <w:i/>
        </w:rPr>
        <w:t xml:space="preserve"> eel) taastootmisindeks on sama võrdlusperioodi suhtes 29 protsenti. (ICES WGEEL REPORT 2018). Angerjapopulatsiooni ei mõjuta siiski ainult kalapüük. Angerjavarude languse taga arvatakse olevat ka jõgede reostus ja rändetõkete rajamine (tammid jms.), kalaparasiitide ulatuslikum levik ja keskkonnamuutused, mis on mõjutanud angerja kudeala ja rändetingimusi. Teadusuuringud on ka näidanud (</w:t>
      </w:r>
      <w:proofErr w:type="spellStart"/>
      <w:r>
        <w:rPr>
          <w:rFonts w:ascii="Times New Roman" w:eastAsia="Times New Roman" w:hAnsi="Times New Roman" w:cs="Times New Roman"/>
          <w:i/>
        </w:rPr>
        <w:t>Hansson</w:t>
      </w:r>
      <w:proofErr w:type="spellEnd"/>
      <w:r>
        <w:rPr>
          <w:rFonts w:ascii="Times New Roman" w:eastAsia="Times New Roman" w:hAnsi="Times New Roman" w:cs="Times New Roman"/>
          <w:i/>
        </w:rPr>
        <w:t xml:space="preserve"> jt. 2017), et angerja suremus kormoranide tõttu võib Läänemeres olla samas suurusjärgus angerja tööndusliku püügiga. Lisainformatsiooni samal teemal on ka teistel autoritel, nagu </w:t>
      </w:r>
      <w:proofErr w:type="spellStart"/>
      <w:r>
        <w:rPr>
          <w:rFonts w:ascii="Times New Roman" w:eastAsia="Times New Roman" w:hAnsi="Times New Roman" w:cs="Times New Roman"/>
          <w:i/>
        </w:rPr>
        <w:t>Lundström</w:t>
      </w:r>
      <w:proofErr w:type="spellEnd"/>
      <w:r>
        <w:rPr>
          <w:rFonts w:ascii="Times New Roman" w:eastAsia="Times New Roman" w:hAnsi="Times New Roman" w:cs="Times New Roman"/>
          <w:i/>
        </w:rPr>
        <w:t xml:space="preserve"> jt. (2010) ja </w:t>
      </w:r>
      <w:proofErr w:type="spellStart"/>
      <w:r>
        <w:rPr>
          <w:rFonts w:ascii="Times New Roman" w:eastAsia="Times New Roman" w:hAnsi="Times New Roman" w:cs="Times New Roman"/>
          <w:i/>
        </w:rPr>
        <w:t>Östman</w:t>
      </w:r>
      <w:proofErr w:type="spellEnd"/>
      <w:r>
        <w:rPr>
          <w:rFonts w:ascii="Times New Roman" w:eastAsia="Times New Roman" w:hAnsi="Times New Roman" w:cs="Times New Roman"/>
          <w:i/>
        </w:rPr>
        <w:t xml:space="preserve"> jt. (2013). Sarnased on andmed ka mõnedest Rootsi järvedest, kus kormoranide söödud angerjakogus isegi ületas angerjasaaki (</w:t>
      </w:r>
      <w:proofErr w:type="spellStart"/>
      <w:r>
        <w:rPr>
          <w:rFonts w:ascii="Times New Roman" w:eastAsia="Times New Roman" w:hAnsi="Times New Roman" w:cs="Times New Roman"/>
          <w:i/>
        </w:rPr>
        <w:t>Ovegård</w:t>
      </w:r>
      <w:proofErr w:type="spellEnd"/>
      <w:r>
        <w:rPr>
          <w:rFonts w:ascii="Times New Roman" w:eastAsia="Times New Roman" w:hAnsi="Times New Roman" w:cs="Times New Roman"/>
          <w:i/>
        </w:rPr>
        <w:t xml:space="preserve">, 2017).  </w:t>
      </w:r>
      <w:r>
        <w:rPr>
          <w:rStyle w:val="Allmrkuseviide"/>
          <w:rFonts w:ascii="Times New Roman" w:eastAsia="Times New Roman" w:hAnsi="Times New Roman" w:cs="Times New Roman"/>
          <w:i/>
        </w:rPr>
        <w:footnoteReference w:id="46"/>
      </w:r>
    </w:p>
    <w:p w14:paraId="4172EF1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Kalurite hinnangul on Saaremaa kalanduspiirkonnas suurimaks probleemiks hallhüljeste populatsiooni järjepidev kasv ja nende poolt tekitatud kahju kalavarudele ja püügivahenditele.  Eestis ei ole kahjuks läbi viidud uuringuid, mis annaksid tõese hinnangu lindude ja merekiskjate poolt tekitatud kahjude ulatusest kalavarudele.</w:t>
      </w:r>
    </w:p>
    <w:p w14:paraId="714B616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Rootsis ja Soomes läbiviidud uuringud viitavad aga sellele, et hallhüljeste ja kormoranide poolt tekitatud kahju Läänemere kalavarudele on märkimisväärne.</w:t>
      </w:r>
    </w:p>
    <w:p w14:paraId="73E5A082" w14:textId="77777777" w:rsidR="008312AA" w:rsidRDefault="00000000">
      <w:pPr>
        <w:spacing w:line="276" w:lineRule="auto"/>
        <w:rPr>
          <w:rFonts w:ascii="Times New Roman" w:eastAsia="Times New Roman" w:hAnsi="Times New Roman" w:cs="Times New Roman"/>
        </w:rPr>
      </w:pPr>
      <w:proofErr w:type="spellStart"/>
      <w:r>
        <w:rPr>
          <w:rFonts w:ascii="Times New Roman" w:eastAsia="Times New Roman" w:hAnsi="Times New Roman" w:cs="Times New Roman"/>
        </w:rPr>
        <w:t>Rebeca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Svensson</w:t>
      </w:r>
      <w:proofErr w:type="spellEnd"/>
      <w:r>
        <w:rPr>
          <w:rFonts w:ascii="Times New Roman" w:eastAsia="Times New Roman" w:hAnsi="Times New Roman" w:cs="Times New Roman"/>
        </w:rPr>
        <w:t xml:space="preserve"> </w:t>
      </w:r>
      <w:bookmarkStart w:id="23" w:name="_Hlk154131769"/>
      <w:r>
        <w:rPr>
          <w:rFonts w:ascii="Times New Roman" w:eastAsia="Times New Roman" w:hAnsi="Times New Roman" w:cs="Times New Roman"/>
        </w:rPr>
        <w:t xml:space="preserve">Rootsi Põllumajandusteaduste Ülikoolist </w:t>
      </w:r>
      <w:bookmarkEnd w:id="23"/>
      <w:r>
        <w:rPr>
          <w:rFonts w:ascii="Times New Roman" w:eastAsia="Times New Roman" w:hAnsi="Times New Roman" w:cs="Times New Roman"/>
        </w:rPr>
        <w:t xml:space="preserve">(SLU) uuris </w:t>
      </w:r>
      <w:bookmarkStart w:id="24" w:name="_Hlk154131819"/>
      <w:r>
        <w:rPr>
          <w:rFonts w:ascii="Times New Roman" w:eastAsia="Times New Roman" w:hAnsi="Times New Roman" w:cs="Times New Roman"/>
        </w:rPr>
        <w:t xml:space="preserve">hallhüljeste populatsiooni kasvu mõju haugi populatsioonile aastatel 2016 - 2020 Rootsi rannikuvetes </w:t>
      </w:r>
      <w:bookmarkEnd w:id="24"/>
      <w:r>
        <w:rPr>
          <w:rFonts w:ascii="Times New Roman" w:eastAsia="Times New Roman" w:hAnsi="Times New Roman" w:cs="Times New Roman"/>
        </w:rPr>
        <w:t xml:space="preserve">(Uppsala ja Stockholmi maakonnad). 2021. a ilmunud uuring  </w:t>
      </w:r>
      <w:bookmarkStart w:id="25" w:name="_Hlk153958660"/>
      <w:r>
        <w:rPr>
          <w:rFonts w:ascii="Times New Roman" w:eastAsia="Times New Roman" w:hAnsi="Times New Roman" w:cs="Times New Roman"/>
        </w:rPr>
        <w:t xml:space="preserve">“Development of </w:t>
      </w:r>
      <w:proofErr w:type="spellStart"/>
      <w:r>
        <w:rPr>
          <w:rFonts w:ascii="Times New Roman" w:eastAsia="Times New Roman" w:hAnsi="Times New Roman" w:cs="Times New Roman"/>
        </w:rPr>
        <w:t>northern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pike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Esox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lucius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populations</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Baltic Sea, and </w:t>
      </w:r>
      <w:proofErr w:type="spellStart"/>
      <w:r>
        <w:rPr>
          <w:rFonts w:ascii="Times New Roman" w:eastAsia="Times New Roman" w:hAnsi="Times New Roman" w:cs="Times New Roman"/>
        </w:rPr>
        <w:t>potential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effects</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grey</w:t>
      </w:r>
      <w:proofErr w:type="spellEnd"/>
      <w:r>
        <w:rPr>
          <w:rFonts w:ascii="Times New Roman" w:eastAsia="Times New Roman" w:hAnsi="Times New Roman" w:cs="Times New Roman"/>
        </w:rPr>
        <w:t xml:space="preserve"> seal (</w:t>
      </w:r>
      <w:proofErr w:type="spellStart"/>
      <w:r>
        <w:rPr>
          <w:rFonts w:ascii="Times New Roman" w:eastAsia="Times New Roman" w:hAnsi="Times New Roman" w:cs="Times New Roman"/>
        </w:rPr>
        <w:t>Halichoerus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grypus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predation</w:t>
      </w:r>
      <w:proofErr w:type="spellEnd"/>
      <w:r>
        <w:rPr>
          <w:rFonts w:ascii="Times New Roman" w:eastAsia="Times New Roman" w:hAnsi="Times New Roman" w:cs="Times New Roman"/>
        </w:rPr>
        <w:t xml:space="preserve">” (Swedish University of </w:t>
      </w:r>
      <w:proofErr w:type="spellStart"/>
      <w:r>
        <w:rPr>
          <w:rFonts w:ascii="Times New Roman" w:eastAsia="Times New Roman" w:hAnsi="Times New Roman" w:cs="Times New Roman"/>
        </w:rPr>
        <w:t>Agricultural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Sciences</w:t>
      </w:r>
      <w:proofErr w:type="spellEnd"/>
      <w:r>
        <w:rPr>
          <w:rFonts w:ascii="Times New Roman" w:eastAsia="Times New Roman" w:hAnsi="Times New Roman" w:cs="Times New Roman"/>
        </w:rPr>
        <w:t>),</w:t>
      </w:r>
      <w:r>
        <w:rPr>
          <w:rFonts w:ascii="Times New Roman" w:eastAsia="Times New Roman" w:hAnsi="Times New Roman" w:cs="Times New Roman"/>
          <w:color w:val="0066FF"/>
        </w:rPr>
        <w:t xml:space="preserve"> </w:t>
      </w:r>
      <w:r>
        <w:rPr>
          <w:rFonts w:ascii="Times New Roman" w:eastAsia="Times New Roman" w:hAnsi="Times New Roman" w:cs="Times New Roman"/>
        </w:rPr>
        <w:t>2021</w:t>
      </w:r>
      <w:bookmarkEnd w:id="25"/>
      <w:r>
        <w:rPr>
          <w:rFonts w:ascii="Times New Roman" w:eastAsia="Times New Roman" w:hAnsi="Times New Roman" w:cs="Times New Roman"/>
        </w:rPr>
        <w:t xml:space="preserve"> tulemused näitavad, et hallhüljeste arvukuse suurenemine on seotud Läänemere lääneosa saarestiku haugi populatsiooni negatiivse arenguga. Rannikumere kalade majandamisel on ka Eestis traditsiooniliselt arvestatud ainult kalapüügist tekkinud mõjudega ja riiklikul tasandil püütakse rakendada piiranguid ainult kutselisele kalapüügile. Selle uuringu tulemused rõhutavad seda, et elujõuliste kalapopulatsioonide säilitamiseks tuleb üle minna ökosüsteemipõhisele kalavarude majandamisele, kus hinnangutes võetakse arvesse ka tippkiskjate arvukuse suurenemise mõju kalavarudele. Kalur ei ole sugugi kõige suurem oht meie rannikumere kalavarudele. </w:t>
      </w:r>
      <w:r>
        <w:rPr>
          <w:rStyle w:val="Allmrkuseviide"/>
          <w:rFonts w:ascii="Times New Roman" w:eastAsia="Times New Roman" w:hAnsi="Times New Roman" w:cs="Times New Roman"/>
        </w:rPr>
        <w:footnoteReference w:id="47"/>
      </w:r>
    </w:p>
    <w:p w14:paraId="4B4B9CA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Soome kalanduse algatusrühmade eestvedamisel on Rootsi, Saksamaa ja Eesti viinud läbi Läänemere hülge- ja kormorani koostööprojekti (</w:t>
      </w:r>
      <w:hyperlink r:id="rId22">
        <w:r>
          <w:rPr>
            <w:rFonts w:ascii="Times New Roman" w:eastAsia="Times New Roman" w:hAnsi="Times New Roman" w:cs="Times New Roman"/>
          </w:rPr>
          <w:t xml:space="preserve">The Baltic Sea Seal and </w:t>
        </w:r>
        <w:proofErr w:type="spellStart"/>
        <w:r>
          <w:rPr>
            <w:rFonts w:ascii="Times New Roman" w:eastAsia="Times New Roman" w:hAnsi="Times New Roman" w:cs="Times New Roman"/>
          </w:rPr>
          <w:t>Cormorant</w:t>
        </w:r>
        <w:proofErr w:type="spellEnd"/>
        <w:r>
          <w:rPr>
            <w:rFonts w:ascii="Times New Roman" w:eastAsia="Times New Roman" w:hAnsi="Times New Roman" w:cs="Times New Roman"/>
          </w:rPr>
          <w:t xml:space="preserve"> TNC </w:t>
        </w:r>
        <w:proofErr w:type="spellStart"/>
        <w:r>
          <w:rPr>
            <w:rFonts w:ascii="Times New Roman" w:eastAsia="Times New Roman" w:hAnsi="Times New Roman" w:cs="Times New Roman"/>
          </w:rPr>
          <w:t>project</w:t>
        </w:r>
        <w:proofErr w:type="spellEnd"/>
      </w:hyperlink>
      <w:r>
        <w:rPr>
          <w:rFonts w:ascii="Times New Roman" w:eastAsia="Times New Roman" w:hAnsi="Times New Roman" w:cs="Times New Roman"/>
        </w:rPr>
        <w:t>, 2021). Ka selle projekti tulemused rõhutavad, et hüljeste ja kormoranide arvukuse järsk suurenemine mõjutab tugevalt Läänemere väikekalapüügi sektorit, vähendades kohalikku püüki, tekitades lisakulusid ning vähendades seeläbi sektori kasumlikkust. Lisaks põhjustavad hülged otsest kahju kalapüügivahenditele ja levitavad parasiite, mis on kalavarudele kahjulikud.</w:t>
      </w:r>
      <w:r>
        <w:rPr>
          <w:rStyle w:val="Allmrkuseviide"/>
          <w:rFonts w:ascii="Times New Roman" w:eastAsia="Times New Roman" w:hAnsi="Times New Roman" w:cs="Times New Roman"/>
        </w:rPr>
        <w:footnoteReference w:id="48"/>
      </w:r>
    </w:p>
    <w:p w14:paraId="2EC49AA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Alloleval joonisel, mis on koostatud  Rootsi Põllumajandusteaduste Ülikooli (SLU) teadlaste poolt ja, mida tutvustati avalikkusele </w:t>
      </w:r>
      <w:proofErr w:type="spellStart"/>
      <w:r>
        <w:rPr>
          <w:rFonts w:ascii="Times New Roman" w:eastAsia="Times New Roman" w:hAnsi="Times New Roman" w:cs="Times New Roman"/>
        </w:rPr>
        <w:t>Helcom</w:t>
      </w:r>
      <w:proofErr w:type="spellEnd"/>
      <w:r>
        <w:rPr>
          <w:rFonts w:ascii="Times New Roman" w:eastAsia="Times New Roman" w:hAnsi="Times New Roman" w:cs="Times New Roman"/>
        </w:rPr>
        <w:t xml:space="preserve"> Fish Pro koosolekul 24. 03. 2021. a,  on näha, et hülged ja kormoranid hävitavad 10-12 korda rohkem haugi ja ahvena varusid kui kalurid. </w:t>
      </w:r>
      <w:r>
        <w:rPr>
          <w:rStyle w:val="Allmrkuseviide"/>
          <w:rFonts w:ascii="Times New Roman" w:eastAsia="Times New Roman" w:hAnsi="Times New Roman" w:cs="Times New Roman"/>
        </w:rPr>
        <w:footnoteReference w:id="49"/>
      </w:r>
    </w:p>
    <w:p w14:paraId="476D4A5D" w14:textId="77777777" w:rsidR="008312AA" w:rsidRDefault="008312AA">
      <w:pPr>
        <w:spacing w:line="276" w:lineRule="auto"/>
        <w:rPr>
          <w:rFonts w:ascii="Times New Roman" w:eastAsia="Times New Roman" w:hAnsi="Times New Roman" w:cs="Times New Roman"/>
        </w:rPr>
      </w:pPr>
    </w:p>
    <w:p w14:paraId="46CAA1E2" w14:textId="77777777" w:rsidR="008312AA" w:rsidRDefault="00000000">
      <w:pPr>
        <w:spacing w:line="276" w:lineRule="auto"/>
        <w:rPr>
          <w:rFonts w:ascii="Times New Roman" w:eastAsia="Times New Roman" w:hAnsi="Times New Roman" w:cs="Times New Roman"/>
        </w:rPr>
      </w:pPr>
      <w:r>
        <w:rPr>
          <w:noProof/>
        </w:rPr>
        <w:drawing>
          <wp:inline distT="0" distB="0" distL="0" distR="0" wp14:anchorId="7D37AA26" wp14:editId="5B875EE0">
            <wp:extent cx="5731510" cy="3543300"/>
            <wp:effectExtent l="0" t="0" r="0" b="0"/>
            <wp:docPr id="15"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jpg"/>
                    <pic:cNvPicPr>
                      <a:picLocks noChangeAspect="1" noChangeArrowheads="1"/>
                    </pic:cNvPicPr>
                  </pic:nvPicPr>
                  <pic:blipFill>
                    <a:blip r:embed="rId23"/>
                    <a:stretch>
                      <a:fillRect/>
                    </a:stretch>
                  </pic:blipFill>
                  <pic:spPr bwMode="auto">
                    <a:xfrm>
                      <a:off x="0" y="0"/>
                      <a:ext cx="5731510" cy="3543300"/>
                    </a:xfrm>
                    <a:prstGeom prst="rect">
                      <a:avLst/>
                    </a:prstGeom>
                  </pic:spPr>
                </pic:pic>
              </a:graphicData>
            </a:graphic>
          </wp:inline>
        </w:drawing>
      </w:r>
    </w:p>
    <w:p w14:paraId="66B13B9B"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Joonis 13: Hülged ja kormoranid hävitavad kordades rohkem ahvena ja haugi varusid kui kalurid (allikas: </w:t>
      </w:r>
      <w:hyperlink r:id="rId24">
        <w:proofErr w:type="spellStart"/>
        <w:r>
          <w:rPr>
            <w:rFonts w:ascii="Times New Roman" w:eastAsia="Times New Roman" w:hAnsi="Times New Roman" w:cs="Times New Roman"/>
            <w:i/>
            <w:iCs/>
            <w:u w:val="single"/>
          </w:rPr>
          <w:t>Helcom</w:t>
        </w:r>
        <w:proofErr w:type="spellEnd"/>
      </w:hyperlink>
      <w:r>
        <w:rPr>
          <w:rFonts w:ascii="Times New Roman" w:eastAsia="Times New Roman" w:hAnsi="Times New Roman" w:cs="Times New Roman"/>
          <w:i/>
          <w:iCs/>
          <w:u w:val="single"/>
        </w:rPr>
        <w:t>)</w:t>
      </w:r>
    </w:p>
    <w:p w14:paraId="3848A7B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Kalavarude seisukorra parandamise ainsaks regulatsiooni hoovaks ei ole  kutselist kalapüüki mõjutavate piirangute kehtestamine. Ära ei tohi unustada hüljeste ja kormoranide poolt põhjustatud kahjusid. Hallhüljeste ja kormoranide poolt tekitatud kahjud on tänasel päeval reaalsus, mille all kannatavad kõik Läänemere väikekalurid. EL-i tasandil on kiiresti vaja kooskõlastatud tegevust, et vältida Läänemerel väikepüügiga tegelevate rannakalurite kadumist.</w:t>
      </w:r>
    </w:p>
    <w:p w14:paraId="5656DB5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Selle nimel hakkame ka oma kalanduspiirkonnas perioodil 2023 - 2027+ töötama. Samuti on vaja jätkata koelmukohtade taastamisega.</w:t>
      </w:r>
    </w:p>
    <w:p w14:paraId="5D2A6E5A" w14:textId="77777777" w:rsidR="008312AA" w:rsidRDefault="008312AA">
      <w:pPr>
        <w:spacing w:line="276" w:lineRule="auto"/>
        <w:rPr>
          <w:rFonts w:ascii="Times New Roman" w:eastAsia="Times New Roman" w:hAnsi="Times New Roman" w:cs="Times New Roman"/>
        </w:rPr>
      </w:pPr>
    </w:p>
    <w:p w14:paraId="3FD85E4B"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27" w:name="_Toc157420941"/>
      <w:r>
        <w:rPr>
          <w:rFonts w:ascii="Times New Roman" w:hAnsi="Times New Roman" w:cs="Times New Roman"/>
          <w:color w:val="7030A0"/>
          <w:sz w:val="28"/>
          <w:szCs w:val="28"/>
        </w:rPr>
        <w:t>1.4. Tööhõive ja elatusvõimalused rannakalanduses</w:t>
      </w:r>
      <w:bookmarkEnd w:id="27"/>
    </w:p>
    <w:p w14:paraId="6AA636CA" w14:textId="77777777" w:rsidR="008312AA" w:rsidRDefault="008312AA">
      <w:pPr>
        <w:spacing w:line="276" w:lineRule="auto"/>
        <w:rPr>
          <w:rFonts w:ascii="Times New Roman" w:hAnsi="Times New Roman" w:cs="Times New Roman"/>
        </w:rPr>
      </w:pPr>
    </w:p>
    <w:p w14:paraId="0590D18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Kutseliste rannakalurite all on mõeldud isikuid, kellele on väljastatud kaluri kalapüügiluba. Kutselise kalapüügi võimalused kaluri kalapüügiloa alusel on jaotatud maakonniti. Sellest </w:t>
      </w:r>
      <w:r>
        <w:rPr>
          <w:rFonts w:ascii="Times New Roman" w:eastAsia="Times New Roman" w:hAnsi="Times New Roman" w:cs="Times New Roman"/>
        </w:rPr>
        <w:lastRenderedPageBreak/>
        <w:t>tulenevalt väljastatakse kaluri kalapüügiload maakonniti, kutselise kalapüügilubade ja püügiandmete arvestust omavalitsuse lõikes ei peeta.</w:t>
      </w:r>
    </w:p>
    <w:p w14:paraId="1FC3025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Rannapüügil püüti kogu Eestis 2022. aastal umbes 9300 tonni kala, mis koguseliselt moodustab ligi 13% kogu kutselisest kalapüügist ning rannapüügi saagiväärtus oli 2022. aastal umbes 5,2 mln eurot. Suurima väärtusega on ahvena-, räime- ning meritindi saagid. Kokku tegutseb Läänemere rannapüügis 1178 kaluri kalapüügiloa omanikku ning 1924 kutselist kalurit. Kõige enam kalureid on Saaremaal, järgnevad Pärnumaa, Hiiumaa, Harjumaa, Läänemaa, LääneVirumaa ja Ida-Virumaa. Suurele osale kalureist on kalapüük vaid hooajaline sissetulekuallikas, hinnanguliselt saab põhisissetuleku kalapüügist umbes 10% rannakalureist. Püügialustena kasutatakse kuni 12 m pikkuseid kalalaevu, mida oli 2022. aasta lõpu seisuga registrisse kantud 1984. </w:t>
      </w:r>
      <w:r>
        <w:rPr>
          <w:rStyle w:val="Allmrkuseviide"/>
          <w:rFonts w:ascii="Times New Roman" w:eastAsia="Times New Roman" w:hAnsi="Times New Roman" w:cs="Times New Roman"/>
        </w:rPr>
        <w:footnoteReference w:id="50"/>
      </w:r>
    </w:p>
    <w:p w14:paraId="173D4C0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kalanduspiirkonnas (Saaremaa, Muhu ja Ruhnu vald) oli 2022. a lõpu seisuga 240 kalapüügiloa omanikku (neist 8 naised), kellest omakorda 131 olid füüsilisest isikust ettevõtjad, 101 osaühingud, 3 aktsiaseltsid, 4 usaldusühingud ja 3 täisühingud</w:t>
      </w:r>
      <w:r>
        <w:rPr>
          <w:rStyle w:val="Allmrkuseviide"/>
          <w:rFonts w:ascii="Times New Roman" w:eastAsia="Times New Roman" w:hAnsi="Times New Roman" w:cs="Times New Roman"/>
        </w:rPr>
        <w:footnoteReference w:id="51"/>
      </w:r>
      <w:r>
        <w:rPr>
          <w:rFonts w:ascii="Times New Roman" w:eastAsia="Times New Roman" w:hAnsi="Times New Roman" w:cs="Times New Roman"/>
        </w:rPr>
        <w:t>. Püügilubadele oli kantud 447 inimest. Loale kantud kalurite arv on püsinud aastate 2015-2022 lõikes üsna stabiilsena, jäädes 430-450 piirimaile (ühele kalapüügiloale võib kanda mitme kaluri nime). Rannakalurite osakaal kogu maakonna tööealisest elanikkonnast (23 445 inimest) moodustas 2022. a 1,9 %  (2015. a oli sama näit 1,2%).</w:t>
      </w:r>
    </w:p>
    <w:p w14:paraId="25995CAA" w14:textId="26681152"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Rannakalurite seas domineerivad jätkuvalt kesk- ja vanemaealised töötajad, kõige enam on esindatud vanusegrupp 46-70 (2022. a 52 % kõigist loale kantud kaluritest). Noorte osakaal (vanus 15-30) on paraku väga väike ja langustrendis (2022. a ainult 4% kõigist loale kantud kaluritest). Noorte huvi kaluri kutse omandamise vastu on küll kasvanud, aga paljudel juhtudel saab takistuseks see, et püügilubade ja varustuse soetamine nõuab suuri investeeringuid.</w:t>
      </w:r>
    </w:p>
    <w:p w14:paraId="0784B63C"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rPr>
        <w:t xml:space="preserve">Rannakalurid on seisukohal, et kui noorte seast järelkasvu ei tule, ei ole rannakalandus </w:t>
      </w:r>
      <w:proofErr w:type="spellStart"/>
      <w:r>
        <w:rPr>
          <w:rFonts w:ascii="Times New Roman" w:eastAsia="Times New Roman" w:hAnsi="Times New Roman" w:cs="Times New Roman"/>
        </w:rPr>
        <w:t>jätkusuutlik</w:t>
      </w:r>
      <w:proofErr w:type="spellEnd"/>
      <w:r>
        <w:rPr>
          <w:rFonts w:ascii="Times New Roman" w:eastAsia="Times New Roman" w:hAnsi="Times New Roman" w:cs="Times New Roman"/>
        </w:rPr>
        <w:t>. Oluliseks peetakse jätkuvalt rannakaluri kutse propageerimist, et muuta kalandus noortele atraktiivsemaks. Vaja on luua noorkaluritele soodsamad võimalused kalurikutsega alustamisel ja toetada noortele mõeldud kalandusalaseid huviringe ning õpet.</w:t>
      </w:r>
      <w:r>
        <w:rPr>
          <w:rFonts w:ascii="Times New Roman" w:eastAsia="Times New Roman" w:hAnsi="Times New Roman" w:cs="Times New Roman"/>
          <w:i/>
        </w:rPr>
        <w:t xml:space="preserve"> </w:t>
      </w:r>
    </w:p>
    <w:p w14:paraId="094FD26C" w14:textId="77777777" w:rsidR="008312AA" w:rsidRDefault="008312AA">
      <w:pPr>
        <w:spacing w:before="120" w:line="276" w:lineRule="auto"/>
        <w:rPr>
          <w:rFonts w:ascii="Times New Roman" w:eastAsia="Times New Roman" w:hAnsi="Times New Roman" w:cs="Times New Roman"/>
        </w:rPr>
      </w:pPr>
    </w:p>
    <w:p w14:paraId="56483CAB" w14:textId="77777777" w:rsidR="008312AA" w:rsidRDefault="00000000">
      <w:pPr>
        <w:spacing w:before="120" w:line="276" w:lineRule="auto"/>
        <w:rPr>
          <w:rFonts w:ascii="Times New Roman" w:eastAsia="Times New Roman" w:hAnsi="Times New Roman" w:cs="Times New Roman"/>
        </w:rPr>
      </w:pPr>
      <w:r>
        <w:rPr>
          <w:rFonts w:ascii="Times New Roman" w:eastAsia="Times New Roman" w:hAnsi="Times New Roman" w:cs="Times New Roman"/>
          <w:i/>
        </w:rPr>
        <w:t>Tabel 4. Loale kantud kalurite arv ja rannakalurite vanuseline jaotus ja keskmine vanus Saare maakonnas, 2015-2022 (allikas: PTA)</w:t>
      </w:r>
    </w:p>
    <w:tbl>
      <w:tblPr>
        <w:tblW w:w="9135" w:type="dxa"/>
        <w:tblLayout w:type="fixed"/>
        <w:tblLook w:val="0600" w:firstRow="0" w:lastRow="0" w:firstColumn="0" w:lastColumn="0" w:noHBand="1" w:noVBand="1"/>
      </w:tblPr>
      <w:tblGrid>
        <w:gridCol w:w="1470"/>
        <w:gridCol w:w="878"/>
        <w:gridCol w:w="764"/>
        <w:gridCol w:w="1004"/>
        <w:gridCol w:w="1004"/>
        <w:gridCol w:w="1004"/>
        <w:gridCol w:w="1004"/>
        <w:gridCol w:w="1004"/>
        <w:gridCol w:w="1003"/>
      </w:tblGrid>
      <w:tr w:rsidR="008312AA" w14:paraId="067771DF" w14:textId="77777777">
        <w:trPr>
          <w:trHeight w:val="874"/>
        </w:trPr>
        <w:tc>
          <w:tcPr>
            <w:tcW w:w="146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2C4C583F"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Vanuse-grupp</w:t>
            </w:r>
          </w:p>
        </w:tc>
        <w:tc>
          <w:tcPr>
            <w:tcW w:w="878"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07E2207D"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2015</w:t>
            </w:r>
          </w:p>
        </w:tc>
        <w:tc>
          <w:tcPr>
            <w:tcW w:w="76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09050659"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2016</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20D13AE2"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2017</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5CCAC92"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2018</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80526EB"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2019</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28B2E2F5"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2020</w:t>
            </w:r>
          </w:p>
        </w:tc>
        <w:tc>
          <w:tcPr>
            <w:tcW w:w="1004"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1B9A5D2"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2021</w:t>
            </w:r>
          </w:p>
        </w:tc>
        <w:tc>
          <w:tcPr>
            <w:tcW w:w="100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A1B5ACD"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2022</w:t>
            </w:r>
          </w:p>
        </w:tc>
      </w:tr>
      <w:tr w:rsidR="008312AA" w14:paraId="36B56FDC" w14:textId="77777777">
        <w:tc>
          <w:tcPr>
            <w:tcW w:w="1469" w:type="dxa"/>
            <w:tcBorders>
              <w:top w:val="single" w:sz="8" w:space="0" w:color="000000"/>
              <w:left w:val="single" w:sz="8" w:space="0" w:color="000000"/>
              <w:bottom w:val="single" w:sz="8" w:space="0" w:color="000000"/>
              <w:right w:val="single" w:sz="8" w:space="0" w:color="000000"/>
            </w:tcBorders>
          </w:tcPr>
          <w:p w14:paraId="2F58342E"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15-30</w:t>
            </w:r>
          </w:p>
        </w:tc>
        <w:tc>
          <w:tcPr>
            <w:tcW w:w="878" w:type="dxa"/>
            <w:tcBorders>
              <w:top w:val="single" w:sz="8" w:space="0" w:color="000000"/>
              <w:left w:val="single" w:sz="8" w:space="0" w:color="000000"/>
              <w:bottom w:val="single" w:sz="8" w:space="0" w:color="000000"/>
              <w:right w:val="single" w:sz="8" w:space="0" w:color="000000"/>
            </w:tcBorders>
          </w:tcPr>
          <w:p w14:paraId="65D69D14"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34</w:t>
            </w:r>
          </w:p>
        </w:tc>
        <w:tc>
          <w:tcPr>
            <w:tcW w:w="764" w:type="dxa"/>
            <w:tcBorders>
              <w:top w:val="single" w:sz="8" w:space="0" w:color="000000"/>
              <w:left w:val="single" w:sz="8" w:space="0" w:color="000000"/>
              <w:bottom w:val="single" w:sz="8" w:space="0" w:color="000000"/>
              <w:right w:val="single" w:sz="8" w:space="0" w:color="000000"/>
            </w:tcBorders>
          </w:tcPr>
          <w:p w14:paraId="7554F65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33</w:t>
            </w:r>
          </w:p>
        </w:tc>
        <w:tc>
          <w:tcPr>
            <w:tcW w:w="1004" w:type="dxa"/>
            <w:tcBorders>
              <w:top w:val="single" w:sz="8" w:space="0" w:color="000000"/>
              <w:left w:val="single" w:sz="8" w:space="0" w:color="000000"/>
              <w:bottom w:val="single" w:sz="8" w:space="0" w:color="000000"/>
              <w:right w:val="single" w:sz="8" w:space="0" w:color="000000"/>
            </w:tcBorders>
          </w:tcPr>
          <w:p w14:paraId="577B149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31</w:t>
            </w:r>
          </w:p>
        </w:tc>
        <w:tc>
          <w:tcPr>
            <w:tcW w:w="1004" w:type="dxa"/>
            <w:tcBorders>
              <w:top w:val="single" w:sz="8" w:space="0" w:color="000000"/>
              <w:left w:val="single" w:sz="8" w:space="0" w:color="000000"/>
              <w:bottom w:val="single" w:sz="8" w:space="0" w:color="000000"/>
              <w:right w:val="single" w:sz="8" w:space="0" w:color="000000"/>
            </w:tcBorders>
          </w:tcPr>
          <w:p w14:paraId="27D0B18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w:t>
            </w:r>
          </w:p>
        </w:tc>
        <w:tc>
          <w:tcPr>
            <w:tcW w:w="1004" w:type="dxa"/>
            <w:tcBorders>
              <w:top w:val="single" w:sz="8" w:space="0" w:color="000000"/>
              <w:left w:val="single" w:sz="8" w:space="0" w:color="000000"/>
              <w:bottom w:val="single" w:sz="8" w:space="0" w:color="000000"/>
              <w:right w:val="single" w:sz="8" w:space="0" w:color="000000"/>
            </w:tcBorders>
          </w:tcPr>
          <w:p w14:paraId="0C3854E1"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22</w:t>
            </w:r>
          </w:p>
        </w:tc>
        <w:tc>
          <w:tcPr>
            <w:tcW w:w="1004" w:type="dxa"/>
            <w:tcBorders>
              <w:top w:val="single" w:sz="8" w:space="0" w:color="000000"/>
              <w:left w:val="single" w:sz="8" w:space="0" w:color="000000"/>
              <w:bottom w:val="single" w:sz="8" w:space="0" w:color="000000"/>
              <w:right w:val="single" w:sz="8" w:space="0" w:color="000000"/>
            </w:tcBorders>
          </w:tcPr>
          <w:p w14:paraId="681CE95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21</w:t>
            </w:r>
          </w:p>
        </w:tc>
        <w:tc>
          <w:tcPr>
            <w:tcW w:w="1004" w:type="dxa"/>
            <w:tcBorders>
              <w:top w:val="single" w:sz="8" w:space="0" w:color="000000"/>
              <w:left w:val="single" w:sz="8" w:space="0" w:color="000000"/>
              <w:bottom w:val="single" w:sz="8" w:space="0" w:color="000000"/>
              <w:right w:val="single" w:sz="8" w:space="0" w:color="000000"/>
            </w:tcBorders>
          </w:tcPr>
          <w:p w14:paraId="3831ACB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20</w:t>
            </w:r>
          </w:p>
        </w:tc>
        <w:tc>
          <w:tcPr>
            <w:tcW w:w="1003" w:type="dxa"/>
            <w:tcBorders>
              <w:top w:val="single" w:sz="8" w:space="0" w:color="000000"/>
              <w:left w:val="single" w:sz="8" w:space="0" w:color="000000"/>
              <w:bottom w:val="single" w:sz="8" w:space="0" w:color="000000"/>
              <w:right w:val="single" w:sz="8" w:space="0" w:color="000000"/>
            </w:tcBorders>
          </w:tcPr>
          <w:p w14:paraId="64BCB69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18</w:t>
            </w:r>
          </w:p>
        </w:tc>
      </w:tr>
      <w:tr w:rsidR="008312AA" w14:paraId="63EA688E" w14:textId="77777777">
        <w:tc>
          <w:tcPr>
            <w:tcW w:w="1469" w:type="dxa"/>
            <w:tcBorders>
              <w:top w:val="single" w:sz="8" w:space="0" w:color="000000"/>
              <w:left w:val="single" w:sz="8" w:space="0" w:color="000000"/>
              <w:bottom w:val="single" w:sz="8" w:space="0" w:color="000000"/>
              <w:right w:val="single" w:sz="8" w:space="0" w:color="000000"/>
            </w:tcBorders>
          </w:tcPr>
          <w:p w14:paraId="69911CD1"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31-45</w:t>
            </w:r>
          </w:p>
        </w:tc>
        <w:tc>
          <w:tcPr>
            <w:tcW w:w="878" w:type="dxa"/>
            <w:tcBorders>
              <w:top w:val="single" w:sz="8" w:space="0" w:color="000000"/>
              <w:left w:val="single" w:sz="8" w:space="0" w:color="000000"/>
              <w:bottom w:val="single" w:sz="8" w:space="0" w:color="000000"/>
              <w:right w:val="single" w:sz="8" w:space="0" w:color="000000"/>
            </w:tcBorders>
          </w:tcPr>
          <w:p w14:paraId="7F0B6C37"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111</w:t>
            </w:r>
          </w:p>
        </w:tc>
        <w:tc>
          <w:tcPr>
            <w:tcW w:w="764" w:type="dxa"/>
            <w:tcBorders>
              <w:top w:val="single" w:sz="8" w:space="0" w:color="000000"/>
              <w:left w:val="single" w:sz="8" w:space="0" w:color="000000"/>
              <w:bottom w:val="single" w:sz="8" w:space="0" w:color="000000"/>
              <w:right w:val="single" w:sz="8" w:space="0" w:color="000000"/>
            </w:tcBorders>
          </w:tcPr>
          <w:p w14:paraId="74438891"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99</w:t>
            </w:r>
          </w:p>
        </w:tc>
        <w:tc>
          <w:tcPr>
            <w:tcW w:w="1004" w:type="dxa"/>
            <w:tcBorders>
              <w:top w:val="single" w:sz="8" w:space="0" w:color="000000"/>
              <w:left w:val="single" w:sz="8" w:space="0" w:color="000000"/>
              <w:bottom w:val="single" w:sz="8" w:space="0" w:color="000000"/>
              <w:right w:val="single" w:sz="8" w:space="0" w:color="000000"/>
            </w:tcBorders>
          </w:tcPr>
          <w:p w14:paraId="5DDB15F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101</w:t>
            </w:r>
          </w:p>
        </w:tc>
        <w:tc>
          <w:tcPr>
            <w:tcW w:w="1004" w:type="dxa"/>
            <w:tcBorders>
              <w:top w:val="single" w:sz="8" w:space="0" w:color="000000"/>
              <w:left w:val="single" w:sz="8" w:space="0" w:color="000000"/>
              <w:bottom w:val="single" w:sz="8" w:space="0" w:color="000000"/>
              <w:right w:val="single" w:sz="8" w:space="0" w:color="000000"/>
            </w:tcBorders>
          </w:tcPr>
          <w:p w14:paraId="38E779BB"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91</w:t>
            </w:r>
          </w:p>
        </w:tc>
        <w:tc>
          <w:tcPr>
            <w:tcW w:w="1004" w:type="dxa"/>
            <w:tcBorders>
              <w:top w:val="single" w:sz="8" w:space="0" w:color="000000"/>
              <w:left w:val="single" w:sz="8" w:space="0" w:color="000000"/>
              <w:bottom w:val="single" w:sz="8" w:space="0" w:color="000000"/>
              <w:right w:val="single" w:sz="8" w:space="0" w:color="000000"/>
            </w:tcBorders>
          </w:tcPr>
          <w:p w14:paraId="2335C736"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99</w:t>
            </w:r>
          </w:p>
        </w:tc>
        <w:tc>
          <w:tcPr>
            <w:tcW w:w="1004" w:type="dxa"/>
            <w:tcBorders>
              <w:top w:val="single" w:sz="8" w:space="0" w:color="000000"/>
              <w:left w:val="single" w:sz="8" w:space="0" w:color="000000"/>
              <w:bottom w:val="single" w:sz="8" w:space="0" w:color="000000"/>
              <w:right w:val="single" w:sz="8" w:space="0" w:color="000000"/>
            </w:tcBorders>
          </w:tcPr>
          <w:p w14:paraId="61283902"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99</w:t>
            </w:r>
          </w:p>
        </w:tc>
        <w:tc>
          <w:tcPr>
            <w:tcW w:w="1004" w:type="dxa"/>
            <w:tcBorders>
              <w:top w:val="single" w:sz="8" w:space="0" w:color="000000"/>
              <w:left w:val="single" w:sz="8" w:space="0" w:color="000000"/>
              <w:bottom w:val="single" w:sz="8" w:space="0" w:color="000000"/>
              <w:right w:val="single" w:sz="8" w:space="0" w:color="000000"/>
            </w:tcBorders>
          </w:tcPr>
          <w:p w14:paraId="5F1FEC2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104</w:t>
            </w:r>
          </w:p>
        </w:tc>
        <w:tc>
          <w:tcPr>
            <w:tcW w:w="1003" w:type="dxa"/>
            <w:tcBorders>
              <w:top w:val="single" w:sz="8" w:space="0" w:color="000000"/>
              <w:left w:val="single" w:sz="8" w:space="0" w:color="000000"/>
              <w:bottom w:val="single" w:sz="8" w:space="0" w:color="000000"/>
              <w:right w:val="single" w:sz="8" w:space="0" w:color="000000"/>
            </w:tcBorders>
          </w:tcPr>
          <w:p w14:paraId="66B25EC4"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110</w:t>
            </w:r>
          </w:p>
        </w:tc>
      </w:tr>
      <w:tr w:rsidR="008312AA" w14:paraId="0DFCDF35" w14:textId="77777777">
        <w:tc>
          <w:tcPr>
            <w:tcW w:w="1469" w:type="dxa"/>
            <w:tcBorders>
              <w:top w:val="single" w:sz="8" w:space="0" w:color="000000"/>
              <w:left w:val="single" w:sz="8" w:space="0" w:color="000000"/>
              <w:bottom w:val="single" w:sz="8" w:space="0" w:color="000000"/>
              <w:right w:val="single" w:sz="8" w:space="0" w:color="000000"/>
            </w:tcBorders>
          </w:tcPr>
          <w:p w14:paraId="32BA0A3F"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46-70</w:t>
            </w:r>
          </w:p>
        </w:tc>
        <w:tc>
          <w:tcPr>
            <w:tcW w:w="878" w:type="dxa"/>
            <w:tcBorders>
              <w:top w:val="single" w:sz="8" w:space="0" w:color="000000"/>
              <w:left w:val="single" w:sz="8" w:space="0" w:color="000000"/>
              <w:bottom w:val="single" w:sz="8" w:space="0" w:color="000000"/>
              <w:right w:val="single" w:sz="8" w:space="0" w:color="000000"/>
            </w:tcBorders>
          </w:tcPr>
          <w:p w14:paraId="2627D3A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227</w:t>
            </w:r>
          </w:p>
        </w:tc>
        <w:tc>
          <w:tcPr>
            <w:tcW w:w="764" w:type="dxa"/>
            <w:tcBorders>
              <w:top w:val="single" w:sz="8" w:space="0" w:color="000000"/>
              <w:left w:val="single" w:sz="8" w:space="0" w:color="000000"/>
              <w:bottom w:val="single" w:sz="8" w:space="0" w:color="000000"/>
              <w:right w:val="single" w:sz="8" w:space="0" w:color="000000"/>
            </w:tcBorders>
          </w:tcPr>
          <w:p w14:paraId="60EE7891"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243</w:t>
            </w:r>
          </w:p>
        </w:tc>
        <w:tc>
          <w:tcPr>
            <w:tcW w:w="1004" w:type="dxa"/>
            <w:tcBorders>
              <w:top w:val="single" w:sz="8" w:space="0" w:color="000000"/>
              <w:left w:val="single" w:sz="8" w:space="0" w:color="000000"/>
              <w:bottom w:val="single" w:sz="8" w:space="0" w:color="000000"/>
              <w:right w:val="single" w:sz="8" w:space="0" w:color="000000"/>
            </w:tcBorders>
          </w:tcPr>
          <w:p w14:paraId="37942B8B"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247</w:t>
            </w:r>
          </w:p>
        </w:tc>
        <w:tc>
          <w:tcPr>
            <w:tcW w:w="1004" w:type="dxa"/>
            <w:tcBorders>
              <w:top w:val="single" w:sz="8" w:space="0" w:color="000000"/>
              <w:left w:val="single" w:sz="8" w:space="0" w:color="000000"/>
              <w:bottom w:val="single" w:sz="8" w:space="0" w:color="000000"/>
              <w:right w:val="single" w:sz="8" w:space="0" w:color="000000"/>
            </w:tcBorders>
          </w:tcPr>
          <w:p w14:paraId="4A57374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241</w:t>
            </w:r>
          </w:p>
        </w:tc>
        <w:tc>
          <w:tcPr>
            <w:tcW w:w="1004" w:type="dxa"/>
            <w:tcBorders>
              <w:top w:val="single" w:sz="8" w:space="0" w:color="000000"/>
              <w:left w:val="single" w:sz="8" w:space="0" w:color="000000"/>
              <w:bottom w:val="single" w:sz="8" w:space="0" w:color="000000"/>
              <w:right w:val="single" w:sz="8" w:space="0" w:color="000000"/>
            </w:tcBorders>
          </w:tcPr>
          <w:p w14:paraId="0EF193F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248</w:t>
            </w:r>
          </w:p>
        </w:tc>
        <w:tc>
          <w:tcPr>
            <w:tcW w:w="1004" w:type="dxa"/>
            <w:tcBorders>
              <w:top w:val="single" w:sz="8" w:space="0" w:color="000000"/>
              <w:left w:val="single" w:sz="8" w:space="0" w:color="000000"/>
              <w:bottom w:val="single" w:sz="8" w:space="0" w:color="000000"/>
              <w:right w:val="single" w:sz="8" w:space="0" w:color="000000"/>
            </w:tcBorders>
          </w:tcPr>
          <w:p w14:paraId="64C5278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246</w:t>
            </w:r>
          </w:p>
        </w:tc>
        <w:tc>
          <w:tcPr>
            <w:tcW w:w="1004" w:type="dxa"/>
            <w:tcBorders>
              <w:top w:val="single" w:sz="8" w:space="0" w:color="000000"/>
              <w:left w:val="single" w:sz="8" w:space="0" w:color="000000"/>
              <w:bottom w:val="single" w:sz="8" w:space="0" w:color="000000"/>
              <w:right w:val="single" w:sz="8" w:space="0" w:color="000000"/>
            </w:tcBorders>
          </w:tcPr>
          <w:p w14:paraId="7A8AD2A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240</w:t>
            </w:r>
          </w:p>
        </w:tc>
        <w:tc>
          <w:tcPr>
            <w:tcW w:w="1003" w:type="dxa"/>
            <w:tcBorders>
              <w:top w:val="single" w:sz="8" w:space="0" w:color="000000"/>
              <w:left w:val="single" w:sz="8" w:space="0" w:color="000000"/>
              <w:bottom w:val="single" w:sz="8" w:space="0" w:color="000000"/>
              <w:right w:val="single" w:sz="8" w:space="0" w:color="000000"/>
            </w:tcBorders>
          </w:tcPr>
          <w:p w14:paraId="3AC0B56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231</w:t>
            </w:r>
          </w:p>
        </w:tc>
      </w:tr>
      <w:tr w:rsidR="008312AA" w14:paraId="4BFA415C" w14:textId="77777777">
        <w:tc>
          <w:tcPr>
            <w:tcW w:w="1469" w:type="dxa"/>
            <w:tcBorders>
              <w:top w:val="single" w:sz="8" w:space="0" w:color="000000"/>
              <w:left w:val="single" w:sz="8" w:space="0" w:color="000000"/>
              <w:bottom w:val="single" w:sz="8" w:space="0" w:color="000000"/>
              <w:right w:val="single" w:sz="8" w:space="0" w:color="000000"/>
            </w:tcBorders>
          </w:tcPr>
          <w:p w14:paraId="390BA81B"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70+</w:t>
            </w:r>
          </w:p>
        </w:tc>
        <w:tc>
          <w:tcPr>
            <w:tcW w:w="878" w:type="dxa"/>
            <w:tcBorders>
              <w:top w:val="single" w:sz="8" w:space="0" w:color="000000"/>
              <w:left w:val="single" w:sz="8" w:space="0" w:color="000000"/>
              <w:bottom w:val="single" w:sz="8" w:space="0" w:color="000000"/>
              <w:right w:val="single" w:sz="8" w:space="0" w:color="000000"/>
            </w:tcBorders>
          </w:tcPr>
          <w:p w14:paraId="0F3CE1F6"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76</w:t>
            </w:r>
          </w:p>
        </w:tc>
        <w:tc>
          <w:tcPr>
            <w:tcW w:w="764" w:type="dxa"/>
            <w:tcBorders>
              <w:top w:val="single" w:sz="8" w:space="0" w:color="000000"/>
              <w:left w:val="single" w:sz="8" w:space="0" w:color="000000"/>
              <w:bottom w:val="single" w:sz="8" w:space="0" w:color="000000"/>
              <w:right w:val="single" w:sz="8" w:space="0" w:color="000000"/>
            </w:tcBorders>
          </w:tcPr>
          <w:p w14:paraId="2DB55F27"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70</w:t>
            </w:r>
          </w:p>
        </w:tc>
        <w:tc>
          <w:tcPr>
            <w:tcW w:w="1004" w:type="dxa"/>
            <w:tcBorders>
              <w:top w:val="single" w:sz="8" w:space="0" w:color="000000"/>
              <w:left w:val="single" w:sz="8" w:space="0" w:color="000000"/>
              <w:bottom w:val="single" w:sz="8" w:space="0" w:color="000000"/>
              <w:right w:val="single" w:sz="8" w:space="0" w:color="000000"/>
            </w:tcBorders>
          </w:tcPr>
          <w:p w14:paraId="22102B4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72</w:t>
            </w:r>
          </w:p>
        </w:tc>
        <w:tc>
          <w:tcPr>
            <w:tcW w:w="1004" w:type="dxa"/>
            <w:tcBorders>
              <w:top w:val="single" w:sz="8" w:space="0" w:color="000000"/>
              <w:left w:val="single" w:sz="8" w:space="0" w:color="000000"/>
              <w:bottom w:val="single" w:sz="8" w:space="0" w:color="000000"/>
              <w:right w:val="single" w:sz="8" w:space="0" w:color="000000"/>
            </w:tcBorders>
          </w:tcPr>
          <w:p w14:paraId="6158B036"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77</w:t>
            </w:r>
          </w:p>
        </w:tc>
        <w:tc>
          <w:tcPr>
            <w:tcW w:w="1004" w:type="dxa"/>
            <w:tcBorders>
              <w:top w:val="single" w:sz="8" w:space="0" w:color="000000"/>
              <w:left w:val="single" w:sz="8" w:space="0" w:color="000000"/>
              <w:bottom w:val="single" w:sz="8" w:space="0" w:color="000000"/>
              <w:right w:val="single" w:sz="8" w:space="0" w:color="000000"/>
            </w:tcBorders>
          </w:tcPr>
          <w:p w14:paraId="226CDFA9"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86</w:t>
            </w:r>
          </w:p>
        </w:tc>
        <w:tc>
          <w:tcPr>
            <w:tcW w:w="1004" w:type="dxa"/>
            <w:tcBorders>
              <w:top w:val="single" w:sz="8" w:space="0" w:color="000000"/>
              <w:left w:val="single" w:sz="8" w:space="0" w:color="000000"/>
              <w:bottom w:val="single" w:sz="8" w:space="0" w:color="000000"/>
              <w:right w:val="single" w:sz="8" w:space="0" w:color="000000"/>
            </w:tcBorders>
          </w:tcPr>
          <w:p w14:paraId="45CD1A48"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94</w:t>
            </w:r>
          </w:p>
        </w:tc>
        <w:tc>
          <w:tcPr>
            <w:tcW w:w="1004" w:type="dxa"/>
            <w:tcBorders>
              <w:top w:val="single" w:sz="8" w:space="0" w:color="000000"/>
              <w:left w:val="single" w:sz="8" w:space="0" w:color="000000"/>
              <w:bottom w:val="single" w:sz="8" w:space="0" w:color="000000"/>
              <w:right w:val="single" w:sz="8" w:space="0" w:color="000000"/>
            </w:tcBorders>
          </w:tcPr>
          <w:p w14:paraId="6876055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90</w:t>
            </w:r>
          </w:p>
        </w:tc>
        <w:tc>
          <w:tcPr>
            <w:tcW w:w="1003" w:type="dxa"/>
            <w:tcBorders>
              <w:top w:val="single" w:sz="8" w:space="0" w:color="000000"/>
              <w:left w:val="single" w:sz="8" w:space="0" w:color="000000"/>
              <w:bottom w:val="single" w:sz="8" w:space="0" w:color="000000"/>
              <w:right w:val="single" w:sz="8" w:space="0" w:color="000000"/>
            </w:tcBorders>
          </w:tcPr>
          <w:p w14:paraId="12B88606"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87</w:t>
            </w:r>
          </w:p>
        </w:tc>
      </w:tr>
      <w:tr w:rsidR="008312AA" w14:paraId="5F38D219" w14:textId="77777777">
        <w:tc>
          <w:tcPr>
            <w:tcW w:w="146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5AAA5491"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Loale kantud kalurite arv</w:t>
            </w:r>
          </w:p>
        </w:tc>
        <w:tc>
          <w:tcPr>
            <w:tcW w:w="878" w:type="dxa"/>
            <w:tcBorders>
              <w:top w:val="single" w:sz="8" w:space="0" w:color="000000"/>
              <w:left w:val="single" w:sz="8" w:space="0" w:color="000000"/>
              <w:bottom w:val="single" w:sz="8" w:space="0" w:color="000000"/>
              <w:right w:val="single" w:sz="8" w:space="0" w:color="000000"/>
            </w:tcBorders>
          </w:tcPr>
          <w:p w14:paraId="537B18F7"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448</w:t>
            </w:r>
          </w:p>
        </w:tc>
        <w:tc>
          <w:tcPr>
            <w:tcW w:w="764" w:type="dxa"/>
            <w:tcBorders>
              <w:top w:val="single" w:sz="8" w:space="0" w:color="000000"/>
              <w:left w:val="single" w:sz="8" w:space="0" w:color="000000"/>
              <w:bottom w:val="single" w:sz="8" w:space="0" w:color="000000"/>
              <w:right w:val="single" w:sz="8" w:space="0" w:color="000000"/>
            </w:tcBorders>
          </w:tcPr>
          <w:p w14:paraId="347990DA"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445</w:t>
            </w:r>
          </w:p>
        </w:tc>
        <w:tc>
          <w:tcPr>
            <w:tcW w:w="1004" w:type="dxa"/>
            <w:tcBorders>
              <w:top w:val="single" w:sz="8" w:space="0" w:color="000000"/>
              <w:left w:val="single" w:sz="8" w:space="0" w:color="000000"/>
              <w:bottom w:val="single" w:sz="8" w:space="0" w:color="000000"/>
              <w:right w:val="single" w:sz="8" w:space="0" w:color="000000"/>
            </w:tcBorders>
          </w:tcPr>
          <w:p w14:paraId="36B6BBDC"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451</w:t>
            </w:r>
          </w:p>
        </w:tc>
        <w:tc>
          <w:tcPr>
            <w:tcW w:w="1004" w:type="dxa"/>
            <w:tcBorders>
              <w:top w:val="single" w:sz="8" w:space="0" w:color="000000"/>
              <w:left w:val="single" w:sz="8" w:space="0" w:color="000000"/>
              <w:bottom w:val="single" w:sz="8" w:space="0" w:color="000000"/>
              <w:right w:val="single" w:sz="8" w:space="0" w:color="000000"/>
            </w:tcBorders>
          </w:tcPr>
          <w:p w14:paraId="1B51B766"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433</w:t>
            </w:r>
          </w:p>
        </w:tc>
        <w:tc>
          <w:tcPr>
            <w:tcW w:w="1004" w:type="dxa"/>
            <w:tcBorders>
              <w:top w:val="single" w:sz="8" w:space="0" w:color="000000"/>
              <w:left w:val="single" w:sz="8" w:space="0" w:color="000000"/>
              <w:bottom w:val="single" w:sz="8" w:space="0" w:color="000000"/>
              <w:right w:val="single" w:sz="8" w:space="0" w:color="000000"/>
            </w:tcBorders>
          </w:tcPr>
          <w:p w14:paraId="28F57AAE"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455</w:t>
            </w:r>
          </w:p>
        </w:tc>
        <w:tc>
          <w:tcPr>
            <w:tcW w:w="1004" w:type="dxa"/>
            <w:tcBorders>
              <w:top w:val="single" w:sz="8" w:space="0" w:color="000000"/>
              <w:left w:val="single" w:sz="8" w:space="0" w:color="000000"/>
              <w:bottom w:val="single" w:sz="8" w:space="0" w:color="000000"/>
              <w:right w:val="single" w:sz="8" w:space="0" w:color="000000"/>
            </w:tcBorders>
          </w:tcPr>
          <w:p w14:paraId="6C7028A5"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460</w:t>
            </w:r>
          </w:p>
        </w:tc>
        <w:tc>
          <w:tcPr>
            <w:tcW w:w="1004" w:type="dxa"/>
            <w:tcBorders>
              <w:top w:val="single" w:sz="8" w:space="0" w:color="000000"/>
              <w:left w:val="single" w:sz="8" w:space="0" w:color="000000"/>
              <w:bottom w:val="single" w:sz="8" w:space="0" w:color="000000"/>
              <w:right w:val="single" w:sz="8" w:space="0" w:color="000000"/>
            </w:tcBorders>
          </w:tcPr>
          <w:p w14:paraId="25D42E11"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454</w:t>
            </w:r>
          </w:p>
        </w:tc>
        <w:tc>
          <w:tcPr>
            <w:tcW w:w="1003" w:type="dxa"/>
            <w:tcBorders>
              <w:top w:val="single" w:sz="8" w:space="0" w:color="000000"/>
              <w:left w:val="single" w:sz="8" w:space="0" w:color="000000"/>
              <w:bottom w:val="single" w:sz="8" w:space="0" w:color="000000"/>
              <w:right w:val="single" w:sz="8" w:space="0" w:color="000000"/>
            </w:tcBorders>
          </w:tcPr>
          <w:p w14:paraId="57F7F9D9"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447</w:t>
            </w:r>
          </w:p>
        </w:tc>
      </w:tr>
      <w:tr w:rsidR="008312AA" w14:paraId="46CDD2FF" w14:textId="77777777">
        <w:tc>
          <w:tcPr>
            <w:tcW w:w="146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21E0E1E0"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Keskmine vanus</w:t>
            </w:r>
          </w:p>
        </w:tc>
        <w:tc>
          <w:tcPr>
            <w:tcW w:w="878" w:type="dxa"/>
            <w:tcBorders>
              <w:top w:val="single" w:sz="8" w:space="0" w:color="000000"/>
              <w:left w:val="single" w:sz="8" w:space="0" w:color="000000"/>
              <w:bottom w:val="single" w:sz="8" w:space="0" w:color="000000"/>
              <w:right w:val="single" w:sz="8" w:space="0" w:color="000000"/>
            </w:tcBorders>
          </w:tcPr>
          <w:p w14:paraId="4B460B37"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54,03</w:t>
            </w:r>
          </w:p>
        </w:tc>
        <w:tc>
          <w:tcPr>
            <w:tcW w:w="764" w:type="dxa"/>
            <w:tcBorders>
              <w:top w:val="single" w:sz="8" w:space="0" w:color="000000"/>
              <w:left w:val="single" w:sz="8" w:space="0" w:color="000000"/>
              <w:bottom w:val="single" w:sz="8" w:space="0" w:color="000000"/>
              <w:right w:val="single" w:sz="8" w:space="0" w:color="000000"/>
            </w:tcBorders>
          </w:tcPr>
          <w:p w14:paraId="592929B3"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54,03</w:t>
            </w:r>
          </w:p>
        </w:tc>
        <w:tc>
          <w:tcPr>
            <w:tcW w:w="1004" w:type="dxa"/>
            <w:tcBorders>
              <w:top w:val="single" w:sz="8" w:space="0" w:color="000000"/>
              <w:left w:val="single" w:sz="8" w:space="0" w:color="000000"/>
              <w:bottom w:val="single" w:sz="8" w:space="0" w:color="000000"/>
              <w:right w:val="single" w:sz="8" w:space="0" w:color="000000"/>
            </w:tcBorders>
          </w:tcPr>
          <w:p w14:paraId="1B31A760"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54,11</w:t>
            </w:r>
          </w:p>
        </w:tc>
        <w:tc>
          <w:tcPr>
            <w:tcW w:w="1004" w:type="dxa"/>
            <w:tcBorders>
              <w:top w:val="single" w:sz="8" w:space="0" w:color="000000"/>
              <w:left w:val="single" w:sz="8" w:space="0" w:color="000000"/>
              <w:bottom w:val="single" w:sz="8" w:space="0" w:color="000000"/>
              <w:right w:val="single" w:sz="8" w:space="0" w:color="000000"/>
            </w:tcBorders>
          </w:tcPr>
          <w:p w14:paraId="5AEEBE34"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54,89</w:t>
            </w:r>
          </w:p>
        </w:tc>
        <w:tc>
          <w:tcPr>
            <w:tcW w:w="1004" w:type="dxa"/>
            <w:tcBorders>
              <w:top w:val="single" w:sz="8" w:space="0" w:color="000000"/>
              <w:left w:val="single" w:sz="8" w:space="0" w:color="000000"/>
              <w:bottom w:val="single" w:sz="8" w:space="0" w:color="000000"/>
              <w:right w:val="single" w:sz="8" w:space="0" w:color="000000"/>
            </w:tcBorders>
          </w:tcPr>
          <w:p w14:paraId="1403B0CD"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55,24</w:t>
            </w:r>
          </w:p>
        </w:tc>
        <w:tc>
          <w:tcPr>
            <w:tcW w:w="1004" w:type="dxa"/>
            <w:tcBorders>
              <w:top w:val="single" w:sz="8" w:space="0" w:color="000000"/>
              <w:left w:val="single" w:sz="8" w:space="0" w:color="000000"/>
              <w:bottom w:val="single" w:sz="8" w:space="0" w:color="000000"/>
              <w:right w:val="single" w:sz="8" w:space="0" w:color="000000"/>
            </w:tcBorders>
          </w:tcPr>
          <w:p w14:paraId="6CA26F21"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55,80</w:t>
            </w:r>
          </w:p>
        </w:tc>
        <w:tc>
          <w:tcPr>
            <w:tcW w:w="1004" w:type="dxa"/>
            <w:tcBorders>
              <w:top w:val="single" w:sz="8" w:space="0" w:color="000000"/>
              <w:left w:val="single" w:sz="8" w:space="0" w:color="000000"/>
              <w:bottom w:val="single" w:sz="8" w:space="0" w:color="000000"/>
              <w:right w:val="single" w:sz="8" w:space="0" w:color="000000"/>
            </w:tcBorders>
          </w:tcPr>
          <w:p w14:paraId="2E8E29D8"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55,69</w:t>
            </w:r>
          </w:p>
        </w:tc>
        <w:tc>
          <w:tcPr>
            <w:tcW w:w="1003" w:type="dxa"/>
            <w:tcBorders>
              <w:top w:val="single" w:sz="8" w:space="0" w:color="000000"/>
              <w:left w:val="single" w:sz="8" w:space="0" w:color="000000"/>
              <w:bottom w:val="single" w:sz="8" w:space="0" w:color="000000"/>
              <w:right w:val="single" w:sz="8" w:space="0" w:color="000000"/>
            </w:tcBorders>
          </w:tcPr>
          <w:p w14:paraId="1EE809D4" w14:textId="77777777" w:rsidR="008312AA" w:rsidRDefault="00000000">
            <w:pPr>
              <w:widowControl w:val="0"/>
              <w:spacing w:line="276" w:lineRule="auto"/>
              <w:rPr>
                <w:rFonts w:ascii="Times New Roman" w:eastAsia="Times New Roman" w:hAnsi="Times New Roman" w:cs="Times New Roman"/>
              </w:rPr>
            </w:pPr>
            <w:r>
              <w:rPr>
                <w:rFonts w:ascii="Times New Roman" w:eastAsia="Times New Roman" w:hAnsi="Times New Roman" w:cs="Times New Roman"/>
              </w:rPr>
              <w:t>55,82</w:t>
            </w:r>
          </w:p>
        </w:tc>
      </w:tr>
    </w:tbl>
    <w:p w14:paraId="7A479C63" w14:textId="77777777" w:rsidR="006B6C8A" w:rsidRDefault="006B6C8A">
      <w:pPr>
        <w:spacing w:line="276" w:lineRule="auto"/>
        <w:rPr>
          <w:rFonts w:ascii="Times New Roman" w:eastAsia="Times New Roman" w:hAnsi="Times New Roman" w:cs="Times New Roman"/>
        </w:rPr>
      </w:pPr>
    </w:p>
    <w:p w14:paraId="06D39B79" w14:textId="7FA760A5" w:rsidR="006253E2"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Valdaval enamikul Saaremaa kalanduspiirkonna kutselistest kaluritest on kalapüük kujunenud täiendavaks sissetulekuallikaks muu teenistuse (palgatöö, pension) kõrvalt. Seda peamiselt seoses lühikese püügihooajaga (püük toimub aastas aprillist kuni novembrini, kalurite hinnangul toimub aktiivne püük isegi ainult 4 kuud aastas). </w:t>
      </w:r>
      <w:r w:rsidR="00057ECA">
        <w:rPr>
          <w:rFonts w:ascii="Times New Roman" w:eastAsia="Times New Roman" w:hAnsi="Times New Roman" w:cs="Times New Roman"/>
        </w:rPr>
        <w:t>Ainult kalapüügist elatab ennast piirkonnas vaid 6 kutselist kalurit.</w:t>
      </w:r>
    </w:p>
    <w:p w14:paraId="67E831D5" w14:textId="7578E5D2" w:rsidR="006253E2" w:rsidRDefault="006253E2">
      <w:pPr>
        <w:spacing w:line="276" w:lineRule="auto"/>
        <w:rPr>
          <w:rFonts w:ascii="Times New Roman" w:eastAsia="Times New Roman" w:hAnsi="Times New Roman" w:cs="Times New Roman"/>
        </w:rPr>
      </w:pPr>
      <w:r>
        <w:rPr>
          <w:rFonts w:ascii="Times New Roman" w:eastAsia="Times New Roman" w:hAnsi="Times New Roman" w:cs="Times New Roman"/>
        </w:rPr>
        <w:t>6.04.2022. a toimunud strateegia koostamise töörühma koosolekul toodi välja kalandussektorile enim muret tekitavad kitsaskohad. Püügipiirangud ja reeglid valdkonnas karmistuvad</w:t>
      </w:r>
      <w:r w:rsidR="00057ECA">
        <w:rPr>
          <w:rFonts w:ascii="Times New Roman" w:eastAsia="Times New Roman" w:hAnsi="Times New Roman" w:cs="Times New Roman"/>
        </w:rPr>
        <w:t xml:space="preserve"> pidevalt</w:t>
      </w:r>
      <w:r>
        <w:rPr>
          <w:rFonts w:ascii="Times New Roman" w:eastAsia="Times New Roman" w:hAnsi="Times New Roman" w:cs="Times New Roman"/>
        </w:rPr>
        <w:t>, koostöö kalurkonna ja KK</w:t>
      </w:r>
      <w:r w:rsidR="00057ECA">
        <w:rPr>
          <w:rFonts w:ascii="Times New Roman" w:eastAsia="Times New Roman" w:hAnsi="Times New Roman" w:cs="Times New Roman"/>
        </w:rPr>
        <w:t>A</w:t>
      </w:r>
      <w:r>
        <w:rPr>
          <w:rFonts w:ascii="Times New Roman" w:eastAsia="Times New Roman" w:hAnsi="Times New Roman" w:cs="Times New Roman"/>
        </w:rPr>
        <w:t xml:space="preserve"> on halb</w:t>
      </w:r>
      <w:r w:rsidR="00057ECA">
        <w:rPr>
          <w:rFonts w:ascii="Times New Roman" w:eastAsia="Times New Roman" w:hAnsi="Times New Roman" w:cs="Times New Roman"/>
        </w:rPr>
        <w:t xml:space="preserve"> ja toimub pigem vastandumine</w:t>
      </w:r>
      <w:r>
        <w:rPr>
          <w:rFonts w:ascii="Times New Roman" w:eastAsia="Times New Roman" w:hAnsi="Times New Roman" w:cs="Times New Roman"/>
        </w:rPr>
        <w:t xml:space="preserve">. </w:t>
      </w:r>
      <w:r w:rsidR="00057ECA">
        <w:rPr>
          <w:rFonts w:ascii="Times New Roman" w:eastAsia="Times New Roman" w:hAnsi="Times New Roman" w:cs="Times New Roman"/>
        </w:rPr>
        <w:t xml:space="preserve">Hüljeste populatsiooni pidev kasv mõjub hävitavalt kalavarudele. </w:t>
      </w:r>
      <w:r>
        <w:rPr>
          <w:rFonts w:ascii="Times New Roman" w:eastAsia="Times New Roman" w:hAnsi="Times New Roman" w:cs="Times New Roman"/>
        </w:rPr>
        <w:t xml:space="preserve">Valdav osa piirkonnas püütavast kalast omab madalat kokkuostuhinda ja realiseeritakse enamasti </w:t>
      </w:r>
      <w:proofErr w:type="spellStart"/>
      <w:r>
        <w:rPr>
          <w:rFonts w:ascii="Times New Roman" w:eastAsia="Times New Roman" w:hAnsi="Times New Roman" w:cs="Times New Roman"/>
        </w:rPr>
        <w:t>väärindamata</w:t>
      </w:r>
      <w:proofErr w:type="spellEnd"/>
      <w:r>
        <w:rPr>
          <w:rFonts w:ascii="Times New Roman" w:eastAsia="Times New Roman" w:hAnsi="Times New Roman" w:cs="Times New Roman"/>
        </w:rPr>
        <w:t xml:space="preserve"> kujul, kaluritel puudub</w:t>
      </w:r>
      <w:r w:rsidR="00057ECA">
        <w:rPr>
          <w:rFonts w:ascii="Times New Roman" w:eastAsia="Times New Roman" w:hAnsi="Times New Roman" w:cs="Times New Roman"/>
        </w:rPr>
        <w:t xml:space="preserve"> võimekus tasuda</w:t>
      </w:r>
      <w:r>
        <w:rPr>
          <w:rFonts w:ascii="Times New Roman" w:eastAsia="Times New Roman" w:hAnsi="Times New Roman" w:cs="Times New Roman"/>
        </w:rPr>
        <w:t xml:space="preserve"> omaosalus</w:t>
      </w:r>
      <w:r w:rsidR="00057ECA">
        <w:rPr>
          <w:rFonts w:ascii="Times New Roman" w:eastAsia="Times New Roman" w:hAnsi="Times New Roman" w:cs="Times New Roman"/>
        </w:rPr>
        <w:t>t</w:t>
      </w:r>
      <w:r>
        <w:rPr>
          <w:rFonts w:ascii="Times New Roman" w:eastAsia="Times New Roman" w:hAnsi="Times New Roman" w:cs="Times New Roman"/>
        </w:rPr>
        <w:t xml:space="preserve"> investeeringute elluviimiseks. </w:t>
      </w:r>
    </w:p>
    <w:p w14:paraId="506F02ED" w14:textId="2E86D2AC" w:rsidR="00B72D5D"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Oluline on jätkata kohaliku kala </w:t>
      </w:r>
      <w:proofErr w:type="spellStart"/>
      <w:r>
        <w:rPr>
          <w:rFonts w:ascii="Times New Roman" w:eastAsia="Times New Roman" w:hAnsi="Times New Roman" w:cs="Times New Roman"/>
        </w:rPr>
        <w:t>väärindamise</w:t>
      </w:r>
      <w:proofErr w:type="spellEnd"/>
      <w:r w:rsidR="00057ECA">
        <w:rPr>
          <w:rFonts w:ascii="Times New Roman" w:eastAsia="Times New Roman" w:hAnsi="Times New Roman" w:cs="Times New Roman"/>
        </w:rPr>
        <w:t xml:space="preserve"> vajaduse</w:t>
      </w:r>
      <w:r>
        <w:rPr>
          <w:rFonts w:ascii="Times New Roman" w:eastAsia="Times New Roman" w:hAnsi="Times New Roman" w:cs="Times New Roman"/>
        </w:rPr>
        <w:t xml:space="preserve"> propageerimist kaluri enda poolt, kas või minimaalselt (värske kala puhastamine), kuna see annab võimaluse mõningal määral sissetulekuid suurendada.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puhul (fileerimine) võib probleemiks osutuda see, et kuna peamiselt püütakse n-ö odavat kala, mille </w:t>
      </w:r>
      <w:proofErr w:type="spellStart"/>
      <w:r>
        <w:rPr>
          <w:rFonts w:ascii="Times New Roman" w:eastAsia="Times New Roman" w:hAnsi="Times New Roman" w:cs="Times New Roman"/>
        </w:rPr>
        <w:t>väärindamine</w:t>
      </w:r>
      <w:proofErr w:type="spellEnd"/>
      <w:r>
        <w:rPr>
          <w:rFonts w:ascii="Times New Roman" w:eastAsia="Times New Roman" w:hAnsi="Times New Roman" w:cs="Times New Roman"/>
        </w:rPr>
        <w:t xml:space="preserve"> tõstaks toote hinna väga kõrgele, võib tekkida oht, et turg ei ole võimeline seda toodet ostma. Kõige “turusõbralikumaks” </w:t>
      </w:r>
      <w:proofErr w:type="spellStart"/>
      <w:r>
        <w:rPr>
          <w:rFonts w:ascii="Times New Roman" w:eastAsia="Times New Roman" w:hAnsi="Times New Roman" w:cs="Times New Roman"/>
        </w:rPr>
        <w:t>väärindatud</w:t>
      </w:r>
      <w:proofErr w:type="spellEnd"/>
      <w:r>
        <w:rPr>
          <w:rFonts w:ascii="Times New Roman" w:eastAsia="Times New Roman" w:hAnsi="Times New Roman" w:cs="Times New Roman"/>
        </w:rPr>
        <w:t xml:space="preserve"> tooteks piirkonnas on suitsukala. Samuti on oluline jätkata mitmekesistamise tegevussuunal, toetamaks neid tegevusi, mis võimaldavad kaluril saada püügivälisel ajal lisasissetulekut </w:t>
      </w:r>
      <w:proofErr w:type="spellStart"/>
      <w:r>
        <w:rPr>
          <w:rFonts w:ascii="Times New Roman" w:eastAsia="Times New Roman" w:hAnsi="Times New Roman" w:cs="Times New Roman"/>
        </w:rPr>
        <w:t>kõrvaltegevusalal</w:t>
      </w:r>
      <w:proofErr w:type="spellEnd"/>
      <w:r>
        <w:rPr>
          <w:rFonts w:ascii="Times New Roman" w:eastAsia="Times New Roman" w:hAnsi="Times New Roman" w:cs="Times New Roman"/>
        </w:rPr>
        <w:t>.</w:t>
      </w:r>
      <w:r w:rsidR="00500191">
        <w:rPr>
          <w:rFonts w:ascii="Times New Roman" w:eastAsia="Times New Roman" w:hAnsi="Times New Roman" w:cs="Times New Roman"/>
        </w:rPr>
        <w:t xml:space="preserve"> </w:t>
      </w:r>
    </w:p>
    <w:p w14:paraId="61245754" w14:textId="2A25E793" w:rsidR="008312AA" w:rsidRPr="00B72D5D" w:rsidRDefault="00E13414">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maakonnas pööratakse suurt tähelepanu </w:t>
      </w:r>
      <w:r w:rsidR="00AE1458">
        <w:rPr>
          <w:rFonts w:ascii="Times New Roman" w:eastAsia="Times New Roman" w:hAnsi="Times New Roman" w:cs="Times New Roman"/>
        </w:rPr>
        <w:t xml:space="preserve">uute turismiteenuste väljaarendamisele. </w:t>
      </w:r>
      <w:r w:rsidR="00057ECA">
        <w:rPr>
          <w:rFonts w:ascii="Times New Roman" w:eastAsia="Times New Roman" w:hAnsi="Times New Roman" w:cs="Times New Roman"/>
        </w:rPr>
        <w:t>M</w:t>
      </w:r>
      <w:r>
        <w:rPr>
          <w:rFonts w:ascii="Times New Roman" w:eastAsia="Times New Roman" w:hAnsi="Times New Roman" w:cs="Times New Roman"/>
        </w:rPr>
        <w:t>aakonna kestliku turismi arengu</w:t>
      </w:r>
      <w:r w:rsidR="00AE1458">
        <w:rPr>
          <w:rFonts w:ascii="Times New Roman" w:eastAsia="Times New Roman" w:hAnsi="Times New Roman" w:cs="Times New Roman"/>
        </w:rPr>
        <w:t>strateegia</w:t>
      </w:r>
      <w:r>
        <w:rPr>
          <w:rFonts w:ascii="Times New Roman" w:eastAsia="Times New Roman" w:hAnsi="Times New Roman" w:cs="Times New Roman"/>
        </w:rPr>
        <w:t xml:space="preserve"> </w:t>
      </w:r>
      <w:r w:rsidRPr="00B72D5D">
        <w:rPr>
          <w:rFonts w:ascii="Times New Roman" w:eastAsia="Times New Roman" w:hAnsi="Times New Roman" w:cs="Times New Roman"/>
        </w:rPr>
        <w:t>2022-203</w:t>
      </w:r>
      <w:r w:rsidR="00AE1458" w:rsidRPr="00B72D5D">
        <w:rPr>
          <w:rFonts w:ascii="Times New Roman" w:eastAsia="Times New Roman" w:hAnsi="Times New Roman" w:cs="Times New Roman"/>
        </w:rPr>
        <w:t xml:space="preserve"> </w:t>
      </w:r>
      <w:r w:rsidRPr="00B72D5D">
        <w:rPr>
          <w:rFonts w:ascii="Times New Roman" w:hAnsi="Times New Roman" w:cs="Times New Roman"/>
        </w:rPr>
        <w:t>peaeesmärk on tagada Saare maakonna konkurentsivõime ja atraktiivsus turismisihtkohana läbi jätkusuutliku sihtkoha arendamise, eristumise, digitaliseerimise ja külastaja vajadustele vastavate uuenduslike turismitoodete ja -teenuste väljaarendamise.</w:t>
      </w:r>
      <w:r w:rsidR="00AE1458" w:rsidRPr="00B72D5D">
        <w:rPr>
          <w:rStyle w:val="Allmrkuseviide"/>
          <w:rFonts w:ascii="Times New Roman" w:hAnsi="Times New Roman" w:cs="Times New Roman"/>
        </w:rPr>
        <w:footnoteReference w:id="52"/>
      </w:r>
      <w:r w:rsidR="00AE1458" w:rsidRPr="00B72D5D">
        <w:rPr>
          <w:rFonts w:ascii="Times New Roman" w:hAnsi="Times New Roman" w:cs="Times New Roman"/>
        </w:rPr>
        <w:t xml:space="preserve"> Selle valdkonnaga tegelemine annaks kalandussektorile võimaluse lisasissetulekute saamiseks. </w:t>
      </w:r>
      <w:r w:rsidR="00B72D5D">
        <w:rPr>
          <w:rFonts w:ascii="Times New Roman" w:hAnsi="Times New Roman" w:cs="Times New Roman"/>
        </w:rPr>
        <w:t>Ranniku- ja m</w:t>
      </w:r>
      <w:r w:rsidR="00AE1458" w:rsidRPr="00B72D5D">
        <w:rPr>
          <w:rFonts w:ascii="Times New Roman" w:hAnsi="Times New Roman" w:cs="Times New Roman"/>
        </w:rPr>
        <w:t xml:space="preserve">ereturism on ajalooliselt üks pikaajalisemaid Eesti turismiliike, kuid selles peitub veel hulgaliselt kasutamata võimalusi. Rannaäärset elukeskkonda iseloomustavad kaunis looduskeskkond, traditsioonilised huvitava ajaloo ja kultuuripärandiga rannakülad ning kogemustega kalurid, kes on rannapüügi traditsioonide kandjaiks. Harrastuskalapüügiga tegelevate külastajate arv on kasvutrendis ja positiivne on see, et nad reisivad </w:t>
      </w:r>
      <w:r w:rsidR="00B72D5D">
        <w:rPr>
          <w:rFonts w:ascii="Times New Roman" w:hAnsi="Times New Roman" w:cs="Times New Roman"/>
        </w:rPr>
        <w:t>(turismi)</w:t>
      </w:r>
      <w:r w:rsidR="00AE1458" w:rsidRPr="00B72D5D">
        <w:rPr>
          <w:rFonts w:ascii="Times New Roman" w:hAnsi="Times New Roman" w:cs="Times New Roman"/>
        </w:rPr>
        <w:t>madalhooajal. Väikesadamaid pidi kulgev mereturism on kasvutrendis ning riik panustab sadamate arengusse nii aluste teenindamise infrastruktuuri loomise kaudu kui ka investeerides vaba aja teenustesse sadamas ja</w:t>
      </w:r>
      <w:r w:rsidR="00AE1458">
        <w:t xml:space="preserve"> </w:t>
      </w:r>
      <w:proofErr w:type="spellStart"/>
      <w:r w:rsidR="00AE1458" w:rsidRPr="00B72D5D">
        <w:rPr>
          <w:rFonts w:ascii="Times New Roman" w:hAnsi="Times New Roman" w:cs="Times New Roman"/>
        </w:rPr>
        <w:t>lähipiirkonnas</w:t>
      </w:r>
      <w:proofErr w:type="spellEnd"/>
      <w:r w:rsidR="00AE1458" w:rsidRPr="00B72D5D">
        <w:rPr>
          <w:rFonts w:ascii="Times New Roman" w:hAnsi="Times New Roman" w:cs="Times New Roman"/>
        </w:rPr>
        <w:t xml:space="preserve"> – avatakse söögikohti, </w:t>
      </w:r>
      <w:r w:rsidR="00AE1458" w:rsidRPr="00B72D5D">
        <w:rPr>
          <w:rFonts w:ascii="Times New Roman" w:hAnsi="Times New Roman" w:cs="Times New Roman"/>
        </w:rPr>
        <w:lastRenderedPageBreak/>
        <w:t>pakutakse põnevat aktiivset puhkust, korraldatakse üritusi jne. Sadamate ja infrastruktuuri kõrval on maismaal pakutavad tooted ja teenused väga olulised, sest rahvusvahelised reisijad teevad sihtkohavalikuid suures osas just selle järgi.</w:t>
      </w:r>
      <w:r w:rsidR="00B72D5D" w:rsidRPr="00B72D5D">
        <w:rPr>
          <w:rFonts w:ascii="Times New Roman" w:hAnsi="Times New Roman" w:cs="Times New Roman"/>
        </w:rPr>
        <w:t xml:space="preserve"> Ka väikelaeva- ja rekreatsiooniturismil on mereturistide arvu suurendamisel suur potentsiaal.</w:t>
      </w:r>
      <w:r w:rsidR="00B72D5D">
        <w:t xml:space="preserve"> </w:t>
      </w:r>
      <w:r w:rsidR="00B72D5D">
        <w:rPr>
          <w:rStyle w:val="Allmrkuseviide"/>
          <w:rFonts w:ascii="Times New Roman" w:hAnsi="Times New Roman" w:cs="Times New Roman"/>
        </w:rPr>
        <w:footnoteReference w:id="53"/>
      </w:r>
    </w:p>
    <w:p w14:paraId="4A37116C" w14:textId="77777777" w:rsidR="008312AA" w:rsidRDefault="008312AA">
      <w:pPr>
        <w:spacing w:line="276" w:lineRule="auto"/>
        <w:rPr>
          <w:rFonts w:ascii="Times New Roman" w:eastAsia="Times New Roman" w:hAnsi="Times New Roman" w:cs="Times New Roman"/>
        </w:rPr>
      </w:pPr>
    </w:p>
    <w:p w14:paraId="3DA44941" w14:textId="5181725E" w:rsidR="008312AA" w:rsidRPr="00C313E2" w:rsidRDefault="00000000" w:rsidP="00541032">
      <w:pPr>
        <w:pStyle w:val="Pealkiri3"/>
        <w:ind w:left="-57" w:firstLine="0"/>
        <w:jc w:val="left"/>
        <w:rPr>
          <w:rFonts w:ascii="Times New Roman" w:hAnsi="Times New Roman"/>
          <w:color w:val="0E5C04"/>
        </w:rPr>
      </w:pPr>
      <w:bookmarkStart w:id="28" w:name="_Toc157420942"/>
      <w:r w:rsidRPr="00C313E2">
        <w:rPr>
          <w:rFonts w:ascii="Times New Roman" w:hAnsi="Times New Roman"/>
          <w:color w:val="0E5C04"/>
        </w:rPr>
        <w:t>1.4.1. Kalurkonna koolitusvajadus</w:t>
      </w:r>
      <w:bookmarkEnd w:id="28"/>
    </w:p>
    <w:p w14:paraId="70CC12C2" w14:textId="77777777" w:rsidR="00031915" w:rsidRDefault="00031915" w:rsidP="003141C5">
      <w:pPr>
        <w:spacing w:line="276" w:lineRule="auto"/>
        <w:rPr>
          <w:rFonts w:ascii="Times New Roman" w:hAnsi="Times New Roman" w:cs="Times New Roman"/>
        </w:rPr>
      </w:pPr>
      <w:r w:rsidRPr="00031915">
        <w:rPr>
          <w:rFonts w:ascii="Times New Roman" w:hAnsi="Times New Roman" w:cs="Times New Roman"/>
        </w:rPr>
        <w:t>Tänapäeva muutuv maailm nõuab ettevõtetelt igapäevast arengut. Ettevõte saab areneda siis, kui arenevad tema töötajad.</w:t>
      </w:r>
      <w:r>
        <w:rPr>
          <w:rFonts w:ascii="Times New Roman" w:hAnsi="Times New Roman" w:cs="Times New Roman"/>
        </w:rPr>
        <w:t xml:space="preserve"> </w:t>
      </w:r>
    </w:p>
    <w:p w14:paraId="08C6FAA4" w14:textId="6AC709B3" w:rsidR="003141C5" w:rsidRDefault="003141C5" w:rsidP="003141C5">
      <w:pPr>
        <w:spacing w:line="276" w:lineRule="auto"/>
        <w:rPr>
          <w:rFonts w:ascii="Times New Roman" w:hAnsi="Times New Roman" w:cs="Times New Roman"/>
        </w:rPr>
      </w:pPr>
      <w:r>
        <w:rPr>
          <w:rFonts w:ascii="Times New Roman" w:hAnsi="Times New Roman" w:cs="Times New Roman"/>
        </w:rPr>
        <w:t xml:space="preserve">Kalurkonna tööhõive ja elatusvõimaluste hetkeolukorra analüüsist </w:t>
      </w:r>
      <w:r w:rsidR="006D287A">
        <w:rPr>
          <w:rFonts w:ascii="Times New Roman" w:hAnsi="Times New Roman" w:cs="Times New Roman"/>
        </w:rPr>
        <w:t>ilmnes</w:t>
      </w:r>
      <w:r>
        <w:rPr>
          <w:rFonts w:ascii="Times New Roman" w:hAnsi="Times New Roman" w:cs="Times New Roman"/>
        </w:rPr>
        <w:t xml:space="preserve">, et kalanduspiirkonna rannakalurid ja kalandusettevõtjad vajavad jätkusuutliku ettevõtlusega tegelemiseks täiendkoolitust nii </w:t>
      </w:r>
      <w:proofErr w:type="spellStart"/>
      <w:r>
        <w:rPr>
          <w:rFonts w:ascii="Times New Roman" w:hAnsi="Times New Roman" w:cs="Times New Roman"/>
        </w:rPr>
        <w:t>väärindamise</w:t>
      </w:r>
      <w:proofErr w:type="spellEnd"/>
      <w:r>
        <w:rPr>
          <w:rFonts w:ascii="Times New Roman" w:hAnsi="Times New Roman" w:cs="Times New Roman"/>
        </w:rPr>
        <w:t xml:space="preserve"> kui ka tegevuste mitmekesistamise </w:t>
      </w:r>
      <w:r w:rsidR="006D287A">
        <w:rPr>
          <w:rFonts w:ascii="Times New Roman" w:hAnsi="Times New Roman" w:cs="Times New Roman"/>
        </w:rPr>
        <w:t xml:space="preserve">valdkonnas (koolitused, mis </w:t>
      </w:r>
      <w:r w:rsidR="006D287A" w:rsidRPr="003141C5">
        <w:rPr>
          <w:rFonts w:ascii="Times New Roman" w:hAnsi="Times New Roman" w:cs="Times New Roman"/>
        </w:rPr>
        <w:t>suurendavad võimekust arendada välja uusi teenuseid ja tegeleda tootearendusega</w:t>
      </w:r>
      <w:r w:rsidR="006D287A">
        <w:rPr>
          <w:rFonts w:ascii="Times New Roman" w:hAnsi="Times New Roman" w:cs="Times New Roman"/>
        </w:rPr>
        <w:t>). Samuti on oluline osaleda koolitustel,  mis suurendavad kalandusvaldkonnaga tegelevate ettevõtjate digitaalseid</w:t>
      </w:r>
      <w:r w:rsidR="004E3ADC">
        <w:rPr>
          <w:rFonts w:ascii="Times New Roman" w:hAnsi="Times New Roman" w:cs="Times New Roman"/>
        </w:rPr>
        <w:t>, keskkonnateadlikke</w:t>
      </w:r>
      <w:r w:rsidR="006D287A">
        <w:rPr>
          <w:rFonts w:ascii="Times New Roman" w:hAnsi="Times New Roman" w:cs="Times New Roman"/>
        </w:rPr>
        <w:t xml:space="preserve"> ja finantsalaseid teadmisi. </w:t>
      </w:r>
    </w:p>
    <w:p w14:paraId="7B42CBF3" w14:textId="151DE585" w:rsidR="006D287A" w:rsidRDefault="006D287A" w:rsidP="003141C5">
      <w:pPr>
        <w:spacing w:line="276" w:lineRule="auto"/>
        <w:rPr>
          <w:rFonts w:ascii="Times New Roman" w:hAnsi="Times New Roman" w:cs="Times New Roman"/>
        </w:rPr>
      </w:pPr>
      <w:r>
        <w:rPr>
          <w:rFonts w:ascii="Times New Roman" w:hAnsi="Times New Roman" w:cs="Times New Roman"/>
        </w:rPr>
        <w:t>K</w:t>
      </w:r>
      <w:r w:rsidR="003141C5" w:rsidRPr="003141C5">
        <w:rPr>
          <w:rFonts w:ascii="Times New Roman" w:hAnsi="Times New Roman" w:cs="Times New Roman"/>
        </w:rPr>
        <w:t xml:space="preserve">oolitusvajaduse võib jagada </w:t>
      </w:r>
      <w:r>
        <w:rPr>
          <w:rFonts w:ascii="Times New Roman" w:hAnsi="Times New Roman" w:cs="Times New Roman"/>
        </w:rPr>
        <w:t xml:space="preserve">kolmeks: </w:t>
      </w:r>
    </w:p>
    <w:p w14:paraId="5A8D0E8E" w14:textId="355B69C5" w:rsidR="006D287A" w:rsidRPr="004E3ADC" w:rsidRDefault="003141C5" w:rsidP="004E3ADC">
      <w:pPr>
        <w:pStyle w:val="Loendilik"/>
        <w:numPr>
          <w:ilvl w:val="0"/>
          <w:numId w:val="31"/>
        </w:numPr>
        <w:spacing w:line="276" w:lineRule="auto"/>
        <w:rPr>
          <w:rFonts w:ascii="Times New Roman" w:hAnsi="Times New Roman" w:cs="Times New Roman"/>
        </w:rPr>
      </w:pPr>
      <w:r w:rsidRPr="004E3ADC">
        <w:rPr>
          <w:rFonts w:ascii="Times New Roman" w:hAnsi="Times New Roman" w:cs="Times New Roman"/>
        </w:rPr>
        <w:t xml:space="preserve">Erialased koolitused </w:t>
      </w:r>
      <w:r w:rsidR="004E3ADC">
        <w:rPr>
          <w:rFonts w:ascii="Times New Roman" w:hAnsi="Times New Roman" w:cs="Times New Roman"/>
        </w:rPr>
        <w:t>sh kalandusettevõtte töötajate koolitamine</w:t>
      </w:r>
      <w:r w:rsidR="004E74BA">
        <w:rPr>
          <w:rFonts w:ascii="Times New Roman" w:hAnsi="Times New Roman" w:cs="Times New Roman"/>
        </w:rPr>
        <w:t xml:space="preserve"> ja valdkonna õigusloomega kursis olemine </w:t>
      </w:r>
      <w:r w:rsidRPr="004E3ADC">
        <w:rPr>
          <w:rFonts w:ascii="Times New Roman" w:hAnsi="Times New Roman" w:cs="Times New Roman"/>
        </w:rPr>
        <w:t xml:space="preserve">– koolitused mis aitavad kaluritel </w:t>
      </w:r>
      <w:r w:rsidR="004E74BA">
        <w:rPr>
          <w:rFonts w:ascii="Times New Roman" w:hAnsi="Times New Roman" w:cs="Times New Roman"/>
        </w:rPr>
        <w:t xml:space="preserve">ja kalandusettevõtjatel </w:t>
      </w:r>
      <w:r w:rsidRPr="004E3ADC">
        <w:rPr>
          <w:rFonts w:ascii="Times New Roman" w:hAnsi="Times New Roman" w:cs="Times New Roman"/>
        </w:rPr>
        <w:t>paremini toime tulla oma kutsetööga</w:t>
      </w:r>
      <w:r w:rsidR="004E3ADC">
        <w:rPr>
          <w:rFonts w:ascii="Times New Roman" w:hAnsi="Times New Roman" w:cs="Times New Roman"/>
        </w:rPr>
        <w:t>.</w:t>
      </w:r>
    </w:p>
    <w:p w14:paraId="0C641647" w14:textId="56082819" w:rsidR="006D287A" w:rsidRPr="004E3ADC" w:rsidRDefault="006D287A" w:rsidP="004E3ADC">
      <w:pPr>
        <w:pStyle w:val="Loendilik"/>
        <w:numPr>
          <w:ilvl w:val="0"/>
          <w:numId w:val="31"/>
        </w:numPr>
        <w:spacing w:line="276" w:lineRule="auto"/>
        <w:rPr>
          <w:rFonts w:ascii="Times New Roman" w:eastAsia="Times New Roman" w:hAnsi="Times New Roman" w:cs="Times New Roman"/>
        </w:rPr>
      </w:pPr>
      <w:r w:rsidRPr="004E3ADC">
        <w:rPr>
          <w:rFonts w:ascii="Times New Roman" w:eastAsia="Times New Roman" w:hAnsi="Times New Roman" w:cs="Times New Roman"/>
        </w:rPr>
        <w:t>Erialane ümberõpe – kalandussektorist väljapoole tegevuste leidmine jm koolitused, mis panustavad kaluri teadmiste ja oskuste tõstmisesse</w:t>
      </w:r>
      <w:r w:rsidR="004E3ADC" w:rsidRPr="004E3ADC">
        <w:rPr>
          <w:rFonts w:ascii="Times New Roman" w:eastAsia="Times New Roman" w:hAnsi="Times New Roman" w:cs="Times New Roman"/>
        </w:rPr>
        <w:t xml:space="preserve"> andmaks võimaluse leida tööd </w:t>
      </w:r>
      <w:r w:rsidR="004E3ADC">
        <w:rPr>
          <w:rFonts w:ascii="Times New Roman" w:eastAsia="Times New Roman" w:hAnsi="Times New Roman" w:cs="Times New Roman"/>
        </w:rPr>
        <w:t>ning</w:t>
      </w:r>
      <w:r w:rsidR="004E3ADC" w:rsidRPr="004E3ADC">
        <w:rPr>
          <w:rFonts w:ascii="Times New Roman" w:eastAsia="Times New Roman" w:hAnsi="Times New Roman" w:cs="Times New Roman"/>
        </w:rPr>
        <w:t xml:space="preserve"> sissetulekuid püügivälisel perioodil.</w:t>
      </w:r>
    </w:p>
    <w:p w14:paraId="7545ECCC" w14:textId="3180E742" w:rsidR="008312AA" w:rsidRPr="00C313E2" w:rsidRDefault="006D287A" w:rsidP="00C313E2">
      <w:pPr>
        <w:pStyle w:val="Loendilik"/>
        <w:numPr>
          <w:ilvl w:val="0"/>
          <w:numId w:val="31"/>
        </w:numPr>
        <w:spacing w:before="240" w:after="240" w:line="276" w:lineRule="auto"/>
        <w:rPr>
          <w:rFonts w:ascii="Times New Roman" w:hAnsi="Times New Roman"/>
        </w:rPr>
      </w:pPr>
      <w:proofErr w:type="spellStart"/>
      <w:r w:rsidRPr="004E3ADC">
        <w:rPr>
          <w:rFonts w:ascii="Times New Roman" w:eastAsia="Times New Roman" w:hAnsi="Times New Roman" w:cs="Times New Roman"/>
        </w:rPr>
        <w:t>Üldhariva</w:t>
      </w:r>
      <w:r w:rsidR="004E3ADC" w:rsidRPr="004E3ADC">
        <w:rPr>
          <w:rFonts w:ascii="Times New Roman" w:eastAsia="Times New Roman" w:hAnsi="Times New Roman" w:cs="Times New Roman"/>
        </w:rPr>
        <w:t>d</w:t>
      </w:r>
      <w:proofErr w:type="spellEnd"/>
      <w:r w:rsidRPr="004E3ADC">
        <w:rPr>
          <w:rFonts w:ascii="Times New Roman" w:eastAsia="Times New Roman" w:hAnsi="Times New Roman" w:cs="Times New Roman"/>
        </w:rPr>
        <w:t xml:space="preserve"> koolitus</w:t>
      </w:r>
      <w:r w:rsidR="004E3ADC" w:rsidRPr="004E3ADC">
        <w:rPr>
          <w:rFonts w:ascii="Times New Roman" w:eastAsia="Times New Roman" w:hAnsi="Times New Roman" w:cs="Times New Roman"/>
        </w:rPr>
        <w:t>ed</w:t>
      </w:r>
      <w:r w:rsidRPr="004E3ADC">
        <w:rPr>
          <w:rFonts w:ascii="Times New Roman" w:eastAsia="Times New Roman" w:hAnsi="Times New Roman" w:cs="Times New Roman"/>
        </w:rPr>
        <w:t xml:space="preserve"> s.h. koolitusreisid (nii riigisisesed kui piiriülesed)</w:t>
      </w:r>
      <w:r w:rsidR="004E3ADC" w:rsidRPr="004E3ADC">
        <w:rPr>
          <w:rFonts w:ascii="Times New Roman" w:eastAsia="Times New Roman" w:hAnsi="Times New Roman" w:cs="Times New Roman"/>
        </w:rPr>
        <w:t xml:space="preserve"> - </w:t>
      </w:r>
      <w:r w:rsidRPr="004E3ADC">
        <w:rPr>
          <w:rFonts w:ascii="Times New Roman" w:eastAsia="Times New Roman" w:hAnsi="Times New Roman" w:cs="Times New Roman"/>
        </w:rPr>
        <w:t xml:space="preserve"> </w:t>
      </w:r>
      <w:r w:rsidR="004E3ADC" w:rsidRPr="004E3ADC">
        <w:rPr>
          <w:rFonts w:ascii="Times New Roman" w:eastAsia="Times New Roman" w:hAnsi="Times New Roman" w:cs="Times New Roman"/>
        </w:rPr>
        <w:t>koolitused jms teadmiste omandamise vormid</w:t>
      </w:r>
      <w:r w:rsidRPr="004E3ADC">
        <w:rPr>
          <w:rFonts w:ascii="Times New Roman" w:eastAsia="Times New Roman" w:hAnsi="Times New Roman" w:cs="Times New Roman"/>
        </w:rPr>
        <w:t>, mis võimaldavad kalandussektori esindajatel saada uusi kogemusi ja innovaatilisi ideid</w:t>
      </w:r>
      <w:r w:rsidR="004E74BA">
        <w:rPr>
          <w:rFonts w:ascii="Times New Roman" w:eastAsia="Times New Roman" w:hAnsi="Times New Roman" w:cs="Times New Roman"/>
        </w:rPr>
        <w:t>, et jätkata kalandusvaldkonnas jätkusuutlikku tegevust.</w:t>
      </w:r>
    </w:p>
    <w:p w14:paraId="169A55E2"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29" w:name="_Toc157420943"/>
      <w:r>
        <w:rPr>
          <w:rFonts w:ascii="Times New Roman" w:hAnsi="Times New Roman" w:cs="Times New Roman"/>
          <w:color w:val="7030A0"/>
          <w:sz w:val="28"/>
          <w:szCs w:val="28"/>
        </w:rPr>
        <w:t>1.5. Kalalaevastik</w:t>
      </w:r>
      <w:bookmarkEnd w:id="29"/>
    </w:p>
    <w:p w14:paraId="39DD77AC" w14:textId="77777777" w:rsidR="008312AA" w:rsidRDefault="00000000">
      <w:pPr>
        <w:pStyle w:val="Normaallaadveeb"/>
        <w:spacing w:before="240" w:beforeAutospacing="0" w:after="240" w:afterAutospacing="0" w:line="276" w:lineRule="auto"/>
        <w:jc w:val="both"/>
      </w:pPr>
      <w:r>
        <w:rPr>
          <w:color w:val="000000"/>
        </w:rPr>
        <w:t xml:space="preserve">Kalalaevad on jaotatud alajaotustesse ehk segmentidesse. Laevad kantakse segmenti nende </w:t>
      </w:r>
      <w:proofErr w:type="spellStart"/>
      <w:r>
        <w:rPr>
          <w:color w:val="000000"/>
        </w:rPr>
        <w:t>üldpikkuse</w:t>
      </w:r>
      <w:proofErr w:type="spellEnd"/>
      <w:r>
        <w:rPr>
          <w:color w:val="000000"/>
        </w:rPr>
        <w:t xml:space="preserve"> ja püügipiirkonna järgi. Ühte segmenti kantakse laevad, mille </w:t>
      </w:r>
      <w:proofErr w:type="spellStart"/>
      <w:r>
        <w:rPr>
          <w:color w:val="000000"/>
        </w:rPr>
        <w:t>üldpikkus</w:t>
      </w:r>
      <w:proofErr w:type="spellEnd"/>
      <w:r>
        <w:rPr>
          <w:color w:val="000000"/>
        </w:rPr>
        <w:t xml:space="preserve"> jääb samasse vahemikku, kasutavad kalapüügil samasuguseid või sama tüüpi püügivahendeid või püüavad samas püügipiirkonnas.</w:t>
      </w:r>
    </w:p>
    <w:p w14:paraId="0044E0A6" w14:textId="77777777" w:rsidR="008312AA" w:rsidRDefault="00000000">
      <w:pPr>
        <w:pStyle w:val="Normaallaadveeb"/>
        <w:spacing w:before="240" w:beforeAutospacing="0" w:after="240" w:afterAutospacing="0" w:line="276" w:lineRule="auto"/>
        <w:jc w:val="both"/>
      </w:pPr>
      <w:r>
        <w:rPr>
          <w:color w:val="000000"/>
        </w:rPr>
        <w:t xml:space="preserve">Kalalaevade registrisse on kantud Saare maakonnas 425 alla 12-meetrist kalalaeva (segment 4S2, seisuga </w:t>
      </w:r>
      <w:r>
        <w:t>1.01.2023</w:t>
      </w:r>
      <w:r>
        <w:rPr>
          <w:color w:val="000000"/>
        </w:rPr>
        <w:t xml:space="preserve">). Laevamasinate keskmine võimsus on 16,1 hj. 425 kalalaevast on 128 laeva </w:t>
      </w:r>
      <w:proofErr w:type="spellStart"/>
      <w:r>
        <w:rPr>
          <w:color w:val="000000"/>
        </w:rPr>
        <w:t>Kalaevade</w:t>
      </w:r>
      <w:proofErr w:type="spellEnd"/>
      <w:r>
        <w:rPr>
          <w:color w:val="000000"/>
        </w:rPr>
        <w:t xml:space="preserve"> registris 128 sõudepaadina (kilovattide puudus). </w:t>
      </w:r>
      <w:r>
        <w:rPr>
          <w:rStyle w:val="Allmrkuseviide"/>
          <w:color w:val="000000"/>
        </w:rPr>
        <w:footnoteReference w:id="54"/>
      </w:r>
      <w:r>
        <w:rPr>
          <w:color w:val="000000"/>
        </w:rPr>
        <w:t xml:space="preserve"> Segmendi 4S2 laevadest pooltel on ehitusaasta enne 2000. aastat. Enim on amortiseerunud räimepüügiks mõeldud kakuam-tüüpi alused, uuendamist vajavad ka kalalaevade mootorid. Vähene kalapüük takistab </w:t>
      </w:r>
      <w:r>
        <w:rPr>
          <w:color w:val="000000"/>
        </w:rPr>
        <w:lastRenderedPageBreak/>
        <w:t xml:space="preserve">omakorda </w:t>
      </w:r>
      <w:proofErr w:type="spellStart"/>
      <w:r>
        <w:rPr>
          <w:color w:val="000000"/>
        </w:rPr>
        <w:t>inevesteerimist</w:t>
      </w:r>
      <w:proofErr w:type="spellEnd"/>
      <w:r>
        <w:rPr>
          <w:color w:val="000000"/>
        </w:rPr>
        <w:t xml:space="preserve"> kalapaatidesse. Investeeringud tuleb teha muude tegevuste arvelt, mis pikemas perspektiivis ei ole </w:t>
      </w:r>
      <w:proofErr w:type="spellStart"/>
      <w:r>
        <w:rPr>
          <w:color w:val="000000"/>
        </w:rPr>
        <w:t>jätkusuutlik</w:t>
      </w:r>
      <w:proofErr w:type="spellEnd"/>
      <w:r>
        <w:rPr>
          <w:color w:val="000000"/>
        </w:rPr>
        <w:t>.</w:t>
      </w:r>
    </w:p>
    <w:p w14:paraId="6D6AE7A4" w14:textId="77777777" w:rsidR="008312AA" w:rsidRDefault="00000000">
      <w:pPr>
        <w:pStyle w:val="Normaallaadveeb"/>
        <w:spacing w:beforeAutospacing="0" w:afterAutospacing="0" w:line="276" w:lineRule="auto"/>
        <w:jc w:val="both"/>
      </w:pPr>
      <w:r>
        <w:rPr>
          <w:color w:val="000000"/>
        </w:rPr>
        <w:t xml:space="preserve">Investeeritud on otseselt kalapüügi parendamisse perioodil 2015-2020+ 78 505 €. Suureks probleemiks rannapüügis on uute kalalaevade registreerimine kalalaevade registrisse. EL on määratletud igale liikmesriigile eraldi kilovatid (paadimootori võimsus). Kui Eestis räägitakse rohepöördest ning </w:t>
      </w:r>
      <w:proofErr w:type="spellStart"/>
      <w:r>
        <w:rPr>
          <w:color w:val="000000"/>
        </w:rPr>
        <w:t>sinimajandusest</w:t>
      </w:r>
      <w:proofErr w:type="spellEnd"/>
      <w:r>
        <w:rPr>
          <w:color w:val="000000"/>
        </w:rPr>
        <w:t xml:space="preserve">, siis on kõigepealt vaja kaaluda uute ning kaasaegsete laevade soetamise võimalust rannakalanduses, millega saavutatakse nii kütuse kokkuhoid kui ka vähendatakse keskkonna jalajälge. Samuti on suureks probleemiks </w:t>
      </w:r>
      <w:proofErr w:type="spellStart"/>
      <w:r>
        <w:rPr>
          <w:color w:val="000000"/>
        </w:rPr>
        <w:t>rannapüügis</w:t>
      </w:r>
      <w:proofErr w:type="spellEnd"/>
      <w:r>
        <w:rPr>
          <w:color w:val="000000"/>
        </w:rPr>
        <w:t xml:space="preserve"> uute kalalaevade registreerimine kalalaevade registrisse. Euroopa Liidu tasandil on </w:t>
      </w:r>
      <w:proofErr w:type="spellStart"/>
      <w:r>
        <w:rPr>
          <w:color w:val="000000"/>
        </w:rPr>
        <w:t>määratletud</w:t>
      </w:r>
      <w:proofErr w:type="spellEnd"/>
      <w:r>
        <w:rPr>
          <w:color w:val="000000"/>
        </w:rPr>
        <w:t xml:space="preserve"> igale liikmesriigile eraldi paadimootori </w:t>
      </w:r>
      <w:proofErr w:type="spellStart"/>
      <w:r>
        <w:rPr>
          <w:color w:val="000000"/>
        </w:rPr>
        <w:t>võimsused</w:t>
      </w:r>
      <w:proofErr w:type="spellEnd"/>
      <w:r>
        <w:rPr>
          <w:color w:val="000000"/>
        </w:rPr>
        <w:t xml:space="preserve"> ehk kW. </w:t>
      </w:r>
    </w:p>
    <w:p w14:paraId="39456648" w14:textId="77777777" w:rsidR="008312AA" w:rsidRDefault="008312AA">
      <w:pPr>
        <w:spacing w:line="276" w:lineRule="auto"/>
        <w:rPr>
          <w:rFonts w:ascii="Times New Roman" w:eastAsia="Times New Roman" w:hAnsi="Times New Roman" w:cs="Times New Roman"/>
        </w:rPr>
      </w:pPr>
    </w:p>
    <w:p w14:paraId="3671A901"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30" w:name="_Toc157420944"/>
      <w:r>
        <w:rPr>
          <w:rFonts w:ascii="Times New Roman" w:hAnsi="Times New Roman" w:cs="Times New Roman"/>
          <w:color w:val="7030A0"/>
          <w:sz w:val="28"/>
          <w:szCs w:val="28"/>
        </w:rPr>
        <w:t>1.6. Sadamad ja lossimiskohad</w:t>
      </w:r>
      <w:bookmarkEnd w:id="30"/>
    </w:p>
    <w:p w14:paraId="416D64D4" w14:textId="77777777" w:rsidR="008312AA" w:rsidRDefault="008312AA">
      <w:pPr>
        <w:spacing w:line="276" w:lineRule="auto"/>
        <w:rPr>
          <w:rFonts w:ascii="Times New Roman" w:eastAsia="Times New Roman" w:hAnsi="Times New Roman" w:cs="Times New Roman"/>
        </w:rPr>
      </w:pPr>
    </w:p>
    <w:p w14:paraId="1CC1EE36" w14:textId="127FD855"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 maakonna arengustrateegia sedastab, et sadamaid arendatakse multifunktsionaalsetena, pöörates ka rohkem tähelepanu </w:t>
      </w:r>
      <w:proofErr w:type="spellStart"/>
      <w:r>
        <w:rPr>
          <w:rFonts w:ascii="Times New Roman" w:eastAsia="Times New Roman" w:hAnsi="Times New Roman" w:cs="Times New Roman"/>
        </w:rPr>
        <w:t>sinimajanduslike</w:t>
      </w:r>
      <w:proofErr w:type="spellEnd"/>
      <w:r>
        <w:rPr>
          <w:rFonts w:ascii="Times New Roman" w:eastAsia="Times New Roman" w:hAnsi="Times New Roman" w:cs="Times New Roman"/>
        </w:rPr>
        <w:t xml:space="preserve"> ja süsinikneutraalsete lahenduste juurutamisele sadamates. Riigi väikesadamate võrgustikku täiendavad maakondliku tähtsusega kogukonna sadamad. Saare maakonnas on 49 sadamat, kus lossitakse kala. Saaremaa on pikima rannajoonega kalanduspiirkond Eestis ja kalanduspiirkonda iseloomustab suur lossimiskohtade arv. Kokku on Põllumajandus- ja Toiduameti kutselise rannapüügi </w:t>
      </w:r>
      <w:proofErr w:type="spellStart"/>
      <w:r>
        <w:rPr>
          <w:rFonts w:ascii="Times New Roman" w:eastAsia="Times New Roman" w:hAnsi="Times New Roman" w:cs="Times New Roman"/>
        </w:rPr>
        <w:t>püügistatitika</w:t>
      </w:r>
      <w:proofErr w:type="spellEnd"/>
      <w:r>
        <w:rPr>
          <w:rFonts w:ascii="Times New Roman" w:eastAsia="Times New Roman" w:hAnsi="Times New Roman" w:cs="Times New Roman"/>
        </w:rPr>
        <w:t xml:space="preserve"> andmetel Saare maakonnas 159 lossimiskohta (Muhus 14, Ruhnus 2 ja Saaremaal 143)</w:t>
      </w:r>
      <w:r>
        <w:rPr>
          <w:rStyle w:val="Allmrkuseviide"/>
          <w:rFonts w:ascii="Times New Roman" w:eastAsia="Times New Roman" w:hAnsi="Times New Roman" w:cs="Times New Roman"/>
        </w:rPr>
        <w:footnoteReference w:id="55"/>
      </w:r>
      <w:r>
        <w:rPr>
          <w:rFonts w:ascii="Times New Roman" w:eastAsia="Times New Roman" w:hAnsi="Times New Roman" w:cs="Times New Roman"/>
        </w:rPr>
        <w:t xml:space="preserve">. </w:t>
      </w:r>
      <w:r w:rsidR="00C313E2">
        <w:rPr>
          <w:rFonts w:ascii="Times New Roman" w:eastAsia="Times New Roman" w:hAnsi="Times New Roman" w:cs="Times New Roman"/>
        </w:rPr>
        <w:t>Lossimisandmeid töödeldes võib öelda, et a</w:t>
      </w:r>
      <w:r>
        <w:rPr>
          <w:rFonts w:ascii="Times New Roman" w:eastAsia="Times New Roman" w:hAnsi="Times New Roman" w:cs="Times New Roman"/>
        </w:rPr>
        <w:t>ktiivses kasutuses on 128 lossimiskohta.</w:t>
      </w:r>
    </w:p>
    <w:p w14:paraId="56DC553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Aastal 2022 oli kala lossimisi Nasva Jõesadamas (4866 lossimist), Tori Jõesadamas (2941 lossimist), Orissaare Uisusadamas (2850 lossimist) ning Muhus Võrkaia sadamas (1774 lossimist). Enim püütud kalad on ahven, lest, tuulehaug. Rannakalanduses kasutatavad väikesadamad on oma sadama funktsioone parandanud ja on kantud sadamaregistrisse.</w:t>
      </w:r>
    </w:p>
    <w:p w14:paraId="5DBF449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Täielikult on renoveeritud Muhu saarel 3 kalasadamat (Kallaste sadam, Koguva sadam ja Võrkaia sadam). Täisrahastuse ehk 400 000 € eest renoveeritud Nasva jõesadam on kalakoguste kui lossimise kordade arvuga kindlalt esikohal. </w:t>
      </w:r>
    </w:p>
    <w:p w14:paraId="0DB7A54F" w14:textId="77777777" w:rsidR="008312AA" w:rsidRDefault="00000000">
      <w:pPr>
        <w:spacing w:line="276" w:lineRule="auto"/>
        <w:rPr>
          <w:rFonts w:ascii="Times New Roman" w:eastAsia="Times New Roman" w:hAnsi="Times New Roman" w:cs="Times New Roman"/>
        </w:rPr>
      </w:pPr>
      <w:r>
        <w:rPr>
          <w:noProof/>
        </w:rPr>
        <w:lastRenderedPageBreak/>
        <w:drawing>
          <wp:inline distT="0" distB="0" distL="0" distR="0" wp14:anchorId="734FA6F1" wp14:editId="51C45726">
            <wp:extent cx="5257800" cy="3352800"/>
            <wp:effectExtent l="0" t="0" r="0" b="0"/>
            <wp:docPr id="16"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4D879D"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Joonis 14: Strateegia sadamate nimistusse lisatavate sadamate lossimiskogused 2019-2022 (allikas: Põllumajandus- ja Toiduamet)</w:t>
      </w:r>
    </w:p>
    <w:p w14:paraId="0E58698E" w14:textId="3BFC8FCF"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Täpse ülevaate kõigi lossimiskohtade lossimiskogustest annab strateegia lisa nr 5 „Saaremaa kalanduspiirkonna lossimiskogused</w:t>
      </w:r>
      <w:r w:rsidR="00C313E2">
        <w:rPr>
          <w:rFonts w:ascii="Times New Roman" w:eastAsia="Times New Roman" w:hAnsi="Times New Roman" w:cs="Times New Roman"/>
        </w:rPr>
        <w:t xml:space="preserve"> (kg)</w:t>
      </w:r>
      <w:r>
        <w:rPr>
          <w:rFonts w:ascii="Times New Roman" w:eastAsia="Times New Roman" w:hAnsi="Times New Roman" w:cs="Times New Roman"/>
        </w:rPr>
        <w:t xml:space="preserve"> lossimiskohtade lõikes 2016-2022“</w:t>
      </w:r>
      <w:r w:rsidR="00C313E2">
        <w:rPr>
          <w:rFonts w:ascii="Times New Roman" w:eastAsia="Times New Roman" w:hAnsi="Times New Roman" w:cs="Times New Roman"/>
        </w:rPr>
        <w:t xml:space="preserve"> ja lisa nr 6 „Saaremaa kalanduspiirkonna lossimised (kg) piirkonniti </w:t>
      </w:r>
      <w:r w:rsidR="000C6BD1">
        <w:rPr>
          <w:rFonts w:ascii="Times New Roman" w:eastAsia="Times New Roman" w:hAnsi="Times New Roman" w:cs="Times New Roman"/>
        </w:rPr>
        <w:t>graafikutena</w:t>
      </w:r>
      <w:r w:rsidR="00C313E2">
        <w:rPr>
          <w:rFonts w:ascii="Times New Roman" w:eastAsia="Times New Roman" w:hAnsi="Times New Roman" w:cs="Times New Roman"/>
        </w:rPr>
        <w:t xml:space="preserve"> 2016-2022“</w:t>
      </w:r>
      <w:r>
        <w:rPr>
          <w:rFonts w:ascii="Times New Roman" w:eastAsia="Times New Roman" w:hAnsi="Times New Roman" w:cs="Times New Roman"/>
        </w:rPr>
        <w:t>. Lossimiskohtade suur arv on tingitud ahvenapüügist, püügile minnakse paat treileril sinna, kus on kala ehk siis lossimiskoha olulisust on raske välja tuua kuna erineval ajal on olulised erinevad lossimiskohad. Räimepüük on Saaremaal katastroofiliselt vähenenud, sellest tulenevalt on suuremate sadamate osatähtsus väljapüügil vähenenud.</w:t>
      </w:r>
    </w:p>
    <w:p w14:paraId="70D6260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Uue perioodi sadamate tuleviku, Saaremaa kui terviku vaates, kindlustab multifunktsionaalsete sadamate renoveerimine. Sadam peab suutma tagada kalurile lossimiskoha, seda nii kutselisele kalurile kui harrastuspüüdjatele. Saaremaa kalanduspiirkonnal on suur mereturismi potentsiaal. Tähtis on arendada võimalusi juurdepääsuks maakonnale merelt. Oluline on tagada meresõiduohutus maakonna rannavetes, mis omakorda nõuab vastavusse viimist minimaalsete siseriiklike nõuetega (allikas: Maaeluministeerium).</w:t>
      </w:r>
    </w:p>
    <w:p w14:paraId="627ECD2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Väikesadamate haldamist ja korrastamist juhib tugev kogukond, kuhu on koondunud kutselised kalurid, harrastuspüüdjad, vabaaja aluste omanikud. Oma abikäe on ulatanud kohalikud omavalitsused, kellel on piisav kompetents projektide kirjutamisel. Projektide elluviimine ja edasine sadama areng jääb kohalikule kogukonnale.</w:t>
      </w:r>
    </w:p>
    <w:p w14:paraId="3590A0D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2022. a sügisel ja 2023. a kevadel sadamapidajate seas läbi viidud arenguvajaduste kaardistamise küsitlusest tulid välja peamised investeeringuvajadused, milleks enim mainituna olid kala lossimiseks paremate tingimuste loomine, väikepaadi kaide ehitus ja renoveerimine, kalurite olmetingimuste parandamine (sadamahoonete ehitamine ja renoveerimine jms), muu sadama tegevuseks vajaliku infrastruktuuri väljaehitamine ja parendamine, kaitsemuulide väljaehitamine ja parendamine, faarvaatri puhastamine, keskkonnasäästlike (taastuvenergia) </w:t>
      </w:r>
      <w:r>
        <w:rPr>
          <w:rFonts w:ascii="Times New Roman" w:eastAsia="Times New Roman" w:hAnsi="Times New Roman" w:cs="Times New Roman"/>
        </w:rPr>
        <w:lastRenderedPageBreak/>
        <w:t xml:space="preserve">lahenduste kasutusele võtmine, sadama </w:t>
      </w:r>
      <w:proofErr w:type="spellStart"/>
      <w:r>
        <w:rPr>
          <w:rFonts w:ascii="Times New Roman" w:eastAsia="Times New Roman" w:hAnsi="Times New Roman" w:cs="Times New Roman"/>
        </w:rPr>
        <w:t>virgestusala</w:t>
      </w:r>
      <w:proofErr w:type="spellEnd"/>
      <w:r>
        <w:rPr>
          <w:rFonts w:ascii="Times New Roman" w:eastAsia="Times New Roman" w:hAnsi="Times New Roman" w:cs="Times New Roman"/>
        </w:rPr>
        <w:t xml:space="preserve"> loomine, erinevate lisateenistust võimaldavate sadamateenuste spektri laiendamine kalasadamates.</w:t>
      </w:r>
    </w:p>
    <w:p w14:paraId="08772BE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Küsitluse tulemuste analüüsist nähtus, et oluline on toetada investeeringuid, mis mitmekesistavad kalasadamates pakutavaid teenuseid, pakuvad kaluritele kala lossimise ja hoiustamise teenuseid ning võimaldab sadamates hoida kalapüügialuseid. Sadamapidajad peavad oluliseks ka  investeeringuid, mis  keskenduvad mere ja tööohutusele väikesadamates ja vähendavad ekstreemsetest ilmastikuoludest tulenevaid kahjustusi sadamataristule.</w:t>
      </w:r>
    </w:p>
    <w:p w14:paraId="5EDB0D0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Kalasadamate arenguvajaduste läbivaatamisel analüüsiti lossimiskoguseid sadamas ning sadamat kasutavate kaluri kalapüügiloa omanike arvu, mõlemaid komponente vaadeldi koosmõjus.</w:t>
      </w:r>
    </w:p>
    <w:p w14:paraId="1490ECB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Euroopa Parlamendi ja nõukogu määruse (EL) nr 2021/1136 artikli 13 punkti i alusel uute sadamate rajamine ei ole lubatud.</w:t>
      </w:r>
    </w:p>
    <w:p w14:paraId="16D6E4E8" w14:textId="1F733589"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 ajalooliseks eripäraks on sadamate rohkus rannajoonel, mis tähendab, et püügile minnakse sellest sadamast, kus pü</w:t>
      </w:r>
      <w:r w:rsidR="002A649F">
        <w:rPr>
          <w:rFonts w:ascii="Times New Roman" w:eastAsia="Times New Roman" w:hAnsi="Times New Roman" w:cs="Times New Roman"/>
        </w:rPr>
        <w:t>ü</w:t>
      </w:r>
      <w:r>
        <w:rPr>
          <w:rFonts w:ascii="Times New Roman" w:eastAsia="Times New Roman" w:hAnsi="Times New Roman" w:cs="Times New Roman"/>
        </w:rPr>
        <w:t>gipiirkonnas on parasjagu kala</w:t>
      </w:r>
      <w:r w:rsidR="002A649F">
        <w:rPr>
          <w:rFonts w:ascii="Times New Roman" w:eastAsia="Times New Roman" w:hAnsi="Times New Roman" w:cs="Times New Roman"/>
        </w:rPr>
        <w:t xml:space="preserve">, </w:t>
      </w:r>
      <w:r>
        <w:rPr>
          <w:rFonts w:ascii="Times New Roman" w:eastAsia="Times New Roman" w:hAnsi="Times New Roman" w:cs="Times New Roman"/>
        </w:rPr>
        <w:t xml:space="preserve">sellest sõltub ka lossimiste arv sadamas. </w:t>
      </w:r>
    </w:p>
    <w:p w14:paraId="4D184E61" w14:textId="700D2C2B"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Kui kalasadama pidaja soovib saada toetus EMKVF meetme sadamate arendamise </w:t>
      </w:r>
      <w:r w:rsidR="002A649F">
        <w:rPr>
          <w:rFonts w:ascii="Times New Roman" w:eastAsia="Times New Roman" w:hAnsi="Times New Roman" w:cs="Times New Roman"/>
        </w:rPr>
        <w:t>tegevussuunast</w:t>
      </w:r>
      <w:r>
        <w:rPr>
          <w:rFonts w:ascii="Times New Roman" w:eastAsia="Times New Roman" w:hAnsi="Times New Roman" w:cs="Times New Roman"/>
        </w:rPr>
        <w:t xml:space="preserve"> perioodil 2023-2027+, peab ta töötama selle nimel, et tema sadam on üks piirkonna olulisematest kalasadamatest oma lossimiskoguste ja muude kutselist rannapüüki iseloomustavate näitajate poolest.</w:t>
      </w:r>
    </w:p>
    <w:p w14:paraId="3883BE9F" w14:textId="77777777" w:rsidR="008312AA" w:rsidRDefault="008312AA">
      <w:pPr>
        <w:pStyle w:val="Pealkiri2"/>
        <w:spacing w:line="276" w:lineRule="auto"/>
        <w:ind w:left="0" w:firstLine="0"/>
        <w:rPr>
          <w:rFonts w:ascii="Times New Roman" w:hAnsi="Times New Roman" w:cs="Times New Roman"/>
          <w:color w:val="7030A0"/>
          <w:sz w:val="28"/>
          <w:szCs w:val="28"/>
        </w:rPr>
      </w:pPr>
    </w:p>
    <w:p w14:paraId="3134BC5E"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31" w:name="_Toc157420945"/>
      <w:r>
        <w:rPr>
          <w:rFonts w:ascii="Times New Roman" w:hAnsi="Times New Roman" w:cs="Times New Roman"/>
          <w:color w:val="7030A0"/>
          <w:sz w:val="28"/>
          <w:szCs w:val="28"/>
        </w:rPr>
        <w:t>1.7. Kala töötlemine ja otseturustamine</w:t>
      </w:r>
      <w:bookmarkEnd w:id="31"/>
    </w:p>
    <w:p w14:paraId="4F2B3D7C" w14:textId="77777777" w:rsidR="008312AA" w:rsidRDefault="008312AA"/>
    <w:p w14:paraId="48E2A7F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Põllumajandus- ja Toiduameti (PTA) kontrolli all Saaremaal on (seisuga 01. 01. 2023) 10 kalakäitlemisega tegelevat käitlejat erinevate ettevõtetega. Nendele lisanduvad: üks eraelamus käitleja;  üks mikroettevõttena tegutsev käitleja; üks ladustamisega tegelev käitlemisettevõte. Kala püüki traallaevadega teostavad kokku 3 ettevõtet (6 kalalaeva/ traallaeva,  mis on 12 m ja suuremad). Need on eraldiseisvad käitlejad (traalid ei kuulu ühelegi kalakäitlemis ettevõttele/ käitlejale ja on eraldiseisvad juriidilised ettevõtted). Kalakäitlemise ettevõtete valdkonnad on erinevad ja pidevalt muutuvad. Suure osa moodustavad külmutatud tooted (kalast ja krevetist) ja erinevad kalast valmistatud tooted (preservid, kulinaartooted, jne.) Saaremaalt eksporditakse põhiliselt külmutatud kala, erinevaid tooteid kalast külmutatult ning preserve. Osad käitlejad tegelevad lisaks (lemmik)loomadele mõeldud toodete tootmise, turustamise ja ekspordiga, olles samuti PTA kontrolli all sööda käitlemise valdkonnas.</w:t>
      </w:r>
    </w:p>
    <w:p w14:paraId="3A53B555" w14:textId="77777777" w:rsidR="008312AA" w:rsidRDefault="00000000">
      <w:pPr>
        <w:spacing w:line="276" w:lineRule="auto"/>
        <w:rPr>
          <w:rFonts w:ascii="Times New Roman" w:eastAsia="Times New Roman" w:hAnsi="Times New Roman" w:cs="Times New Roman"/>
          <w:u w:val="single"/>
        </w:rPr>
      </w:pPr>
      <w:r>
        <w:rPr>
          <w:rFonts w:ascii="Times New Roman" w:eastAsia="Times New Roman" w:hAnsi="Times New Roman" w:cs="Times New Roman"/>
        </w:rPr>
        <w:t>Täpsed andmed Saaremaal registreeritud käitlemisettevõtete ja nende tegevuste kohta andmed on leitavad PTA järelevalve infosüsteemist: Põllumajandus- ja toiduameti järelevalve infosüsteem.</w:t>
      </w:r>
      <w:r>
        <w:rPr>
          <w:rStyle w:val="Allmrkuseviide"/>
          <w:rFonts w:ascii="Times New Roman" w:eastAsia="Times New Roman" w:hAnsi="Times New Roman" w:cs="Times New Roman"/>
        </w:rPr>
        <w:footnoteReference w:id="56"/>
      </w:r>
      <w:r>
        <w:rPr>
          <w:rFonts w:ascii="Times New Roman" w:eastAsia="Times New Roman" w:hAnsi="Times New Roman" w:cs="Times New Roman"/>
        </w:rPr>
        <w:t xml:space="preserve"> Kuna tegemist on hooajatööga, on töötajate arv varieeruv.</w:t>
      </w:r>
    </w:p>
    <w:p w14:paraId="3860539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Otseturustamine (jahutatud kala) turustamine käib veebis läbi erinevate sotsiaalmeedia kanalite ning isiklike tutvuste kaudu. Kuna rannakalurid on pikka aega olnud selles ametis, siis </w:t>
      </w:r>
      <w:r>
        <w:rPr>
          <w:rFonts w:ascii="Times New Roman" w:eastAsia="Times New Roman" w:hAnsi="Times New Roman" w:cs="Times New Roman"/>
        </w:rPr>
        <w:lastRenderedPageBreak/>
        <w:t xml:space="preserve">otsekontaktid on põhiline otseturustamise viis. Otseturustamise abil saavad värsket ja jahutatud kala kohalikud </w:t>
      </w:r>
      <w:proofErr w:type="spellStart"/>
      <w:r>
        <w:rPr>
          <w:rFonts w:ascii="Times New Roman" w:eastAsia="Times New Roman" w:hAnsi="Times New Roman" w:cs="Times New Roman"/>
        </w:rPr>
        <w:t>kalasuitsutajad</w:t>
      </w:r>
      <w:proofErr w:type="spellEnd"/>
      <w:r>
        <w:rPr>
          <w:rFonts w:ascii="Times New Roman" w:eastAsia="Times New Roman" w:hAnsi="Times New Roman" w:cs="Times New Roman"/>
        </w:rPr>
        <w:t>, seda eriti räime ja lesta puhul. Väikeste kalakoguste turustamisele aitab kaasa jahutuskambrite soetamine, mis võimaldab kala hoida värskena jää sees kuni 72 tundi. Uuel perioodil on vaja juurde  väljapüütud kalale jahutuskambreid ja jahutusega autosid, et tagada parema kvaliteediga jahutatud kala turule tulek.</w:t>
      </w:r>
    </w:p>
    <w:p w14:paraId="6273E6A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Eelmine periood oli Saaremaal kolm jahutusega autot, mis varustavad Saaremaad värske kalaga.</w:t>
      </w:r>
    </w:p>
    <w:p w14:paraId="1363845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Selles valdkonnas on kahtlemata soov jätkata kala töötlemise/</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ja otseturustamise võimalusi mitmekesistavate tegevuste toetamisega.</w:t>
      </w:r>
    </w:p>
    <w:p w14:paraId="6BD9770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kalatöötlemise ettevõtete ja suuremate kalapüügiga tegelevate ettevõtete 2022. aasta käive oli 29 395 271 € (2021. a käive oli 34 914 967 €).</w:t>
      </w:r>
      <w:r>
        <w:rPr>
          <w:rStyle w:val="Allmrkuseviide"/>
          <w:rFonts w:ascii="Times New Roman" w:eastAsia="Times New Roman" w:hAnsi="Times New Roman" w:cs="Times New Roman"/>
        </w:rPr>
        <w:footnoteReference w:id="57"/>
      </w:r>
      <w:r>
        <w:rPr>
          <w:rFonts w:ascii="Times New Roman" w:eastAsia="Times New Roman" w:hAnsi="Times New Roman" w:cs="Times New Roman"/>
        </w:rPr>
        <w:t xml:space="preserve"> Üks suurimaid kalatööstusi on AS </w:t>
      </w:r>
      <w:proofErr w:type="spellStart"/>
      <w:r>
        <w:rPr>
          <w:rFonts w:ascii="Times New Roman" w:eastAsia="Times New Roman" w:hAnsi="Times New Roman" w:cs="Times New Roman"/>
        </w:rPr>
        <w:t>Läätsa</w:t>
      </w:r>
      <w:proofErr w:type="spellEnd"/>
      <w:r>
        <w:rPr>
          <w:rFonts w:ascii="Times New Roman" w:eastAsia="Times New Roman" w:hAnsi="Times New Roman" w:cs="Times New Roman"/>
        </w:rPr>
        <w:t xml:space="preserve"> Kalatööstus, mille tooteportfellis on hetkel ca 60 kalatoodet (kalakulinaaria osas pakutakse 32 erinevat toodet, vinnutatud tooteid on sortimendis 9 ja sügavkülmutatud tooteid on 19). Suure osa käibest annab kreveti ringi pakendamine ja müük. Punasele kalale on orienteerunud OÜ Saare Kala Tootmine (Eesti parim kalatoode 2023 - Saare Kala leegitatud lõhefilee), ettevõtte grupis on ka oma kalakasvatus ja merekeskkonnale tekitatud jalajälje vähendamiseks paigaldati karbikasvatuse liinid.</w:t>
      </w:r>
      <w:r>
        <w:rPr>
          <w:rStyle w:val="Allmrkuseviide"/>
          <w:rFonts w:ascii="Times New Roman" w:eastAsia="Times New Roman" w:hAnsi="Times New Roman" w:cs="Times New Roman"/>
        </w:rPr>
        <w:footnoteReference w:id="58"/>
      </w:r>
      <w:r>
        <w:rPr>
          <w:rFonts w:ascii="Times New Roman" w:eastAsia="Times New Roman" w:hAnsi="Times New Roman" w:cs="Times New Roman"/>
        </w:rPr>
        <w:t xml:space="preserve"> Oma toodangut </w:t>
      </w:r>
      <w:proofErr w:type="spellStart"/>
      <w:r>
        <w:rPr>
          <w:rFonts w:ascii="Times New Roman" w:eastAsia="Times New Roman" w:hAnsi="Times New Roman" w:cs="Times New Roman"/>
        </w:rPr>
        <w:t>väärindab</w:t>
      </w:r>
      <w:proofErr w:type="spellEnd"/>
      <w:r>
        <w:rPr>
          <w:rFonts w:ascii="Times New Roman" w:eastAsia="Times New Roman" w:hAnsi="Times New Roman" w:cs="Times New Roman"/>
        </w:rPr>
        <w:t xml:space="preserve"> ka OÜ Pähkla Vähi- ja Kalakasvatus, kelle tootesortimendis lisaks toorkalale on aastaringselt ligi 10 forellist valmistatud kalatoodet. Traallaevade omanike tööstused müüvad kilu- räime, külmutatuna kui ka erisoolas. Veel </w:t>
      </w:r>
      <w:proofErr w:type="spellStart"/>
      <w:r>
        <w:rPr>
          <w:rFonts w:ascii="Times New Roman" w:eastAsia="Times New Roman" w:hAnsi="Times New Roman" w:cs="Times New Roman"/>
        </w:rPr>
        <w:t>väärindatakse</w:t>
      </w:r>
      <w:proofErr w:type="spellEnd"/>
      <w:r>
        <w:rPr>
          <w:rFonts w:ascii="Times New Roman" w:eastAsia="Times New Roman" w:hAnsi="Times New Roman" w:cs="Times New Roman"/>
        </w:rPr>
        <w:t xml:space="preserve"> väheväärtuslikku kala nagu ümarmudil, koger ja särg. Kohalikelt kaluritelt võtab kala ja </w:t>
      </w:r>
      <w:proofErr w:type="spellStart"/>
      <w:r>
        <w:rPr>
          <w:rFonts w:ascii="Times New Roman" w:eastAsia="Times New Roman" w:hAnsi="Times New Roman" w:cs="Times New Roman"/>
        </w:rPr>
        <w:t>väärindab</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Öselfish</w:t>
      </w:r>
      <w:proofErr w:type="spellEnd"/>
      <w:r>
        <w:rPr>
          <w:rFonts w:ascii="Times New Roman" w:eastAsia="Times New Roman" w:hAnsi="Times New Roman" w:cs="Times New Roman"/>
        </w:rPr>
        <w:t xml:space="preserve"> OÜ. Pereettevõtetest üks edukamaid enda püütud ja otseturustamise läbi saadud kalast erinevate kalatoodete valmistaja ja </w:t>
      </w:r>
      <w:proofErr w:type="spellStart"/>
      <w:r>
        <w:rPr>
          <w:rFonts w:ascii="Times New Roman" w:eastAsia="Times New Roman" w:hAnsi="Times New Roman" w:cs="Times New Roman"/>
        </w:rPr>
        <w:t>kalasuitsutaja</w:t>
      </w:r>
      <w:proofErr w:type="spellEnd"/>
      <w:r>
        <w:rPr>
          <w:rFonts w:ascii="Times New Roman" w:eastAsia="Times New Roman" w:hAnsi="Times New Roman" w:cs="Times New Roman"/>
        </w:rPr>
        <w:t xml:space="preserve"> on Tihemetsa Kala OÜ.</w:t>
      </w:r>
    </w:p>
    <w:p w14:paraId="10B8AEA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Valdkonna kitsaskohaks on kindlasti kalurite vähesed teadmised ja oskused enda püütud kala </w:t>
      </w:r>
      <w:proofErr w:type="spellStart"/>
      <w:r>
        <w:rPr>
          <w:rFonts w:ascii="Times New Roman" w:eastAsia="Times New Roman" w:hAnsi="Times New Roman" w:cs="Times New Roman"/>
        </w:rPr>
        <w:t>väärindamisel</w:t>
      </w:r>
      <w:proofErr w:type="spellEnd"/>
      <w:r>
        <w:rPr>
          <w:rFonts w:ascii="Times New Roman" w:eastAsia="Times New Roman" w:hAnsi="Times New Roman" w:cs="Times New Roman"/>
        </w:rPr>
        <w:t>, oluline on toetada investeeringuid, mis panustavad nende oskuste ja teadmiste parendamisse. Samuti on oluline toetada investeeringuid seadmetesse ja vahenditesse, mis lihtsustavad kalatöötlemist ja värske kala transporti.</w:t>
      </w:r>
    </w:p>
    <w:p w14:paraId="6E73E1D1" w14:textId="6EAAF7F9" w:rsidR="008312AA" w:rsidRDefault="001C7524" w:rsidP="001C7524">
      <w:pPr>
        <w:spacing w:after="0"/>
        <w:jc w:val="left"/>
        <w:rPr>
          <w:rFonts w:ascii="Times New Roman" w:eastAsia="Times New Roman" w:hAnsi="Times New Roman" w:cs="Times New Roman"/>
        </w:rPr>
      </w:pPr>
      <w:r>
        <w:rPr>
          <w:rFonts w:ascii="Times New Roman" w:eastAsia="Times New Roman" w:hAnsi="Times New Roman" w:cs="Times New Roman"/>
        </w:rPr>
        <w:br w:type="page"/>
      </w:r>
    </w:p>
    <w:p w14:paraId="688B00BA" w14:textId="6FF9952D" w:rsidR="008312AA" w:rsidRDefault="00000000" w:rsidP="00541032">
      <w:pPr>
        <w:pStyle w:val="Pealkiri2"/>
        <w:spacing w:line="276" w:lineRule="auto"/>
        <w:ind w:left="2268" w:hanging="2231"/>
        <w:jc w:val="left"/>
        <w:rPr>
          <w:rFonts w:ascii="Times New Roman" w:hAnsi="Times New Roman" w:cs="Times New Roman"/>
          <w:color w:val="7030A0"/>
          <w:sz w:val="28"/>
          <w:szCs w:val="28"/>
        </w:rPr>
      </w:pPr>
      <w:bookmarkStart w:id="32" w:name="_Toc157420946"/>
      <w:r>
        <w:rPr>
          <w:rFonts w:ascii="Times New Roman" w:hAnsi="Times New Roman" w:cs="Times New Roman"/>
          <w:color w:val="7030A0"/>
          <w:sz w:val="28"/>
          <w:szCs w:val="28"/>
        </w:rPr>
        <w:lastRenderedPageBreak/>
        <w:t>1.8. Kala tarbimisharjumused ja selle muutused Eestis ning Saaremaal</w:t>
      </w:r>
      <w:bookmarkEnd w:id="32"/>
      <w:r>
        <w:rPr>
          <w:rFonts w:ascii="Times New Roman" w:hAnsi="Times New Roman" w:cs="Times New Roman"/>
          <w:color w:val="7030A0"/>
          <w:sz w:val="28"/>
          <w:szCs w:val="28"/>
        </w:rPr>
        <w:t xml:space="preserve"> </w:t>
      </w:r>
    </w:p>
    <w:p w14:paraId="3BED7B5F" w14:textId="77777777" w:rsidR="008312AA" w:rsidRDefault="008312AA">
      <w:pPr>
        <w:spacing w:line="276" w:lineRule="auto"/>
        <w:ind w:left="576"/>
        <w:rPr>
          <w:rFonts w:ascii="Times New Roman" w:eastAsia="Times New Roman" w:hAnsi="Times New Roman" w:cs="Times New Roman"/>
        </w:rPr>
      </w:pPr>
    </w:p>
    <w:p w14:paraId="20A2CDF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 on kasulik toiduaine, sisaldades mitmeid inimorganismile vajalikke aineid ja vitamiine. Kala on kergesti seeditav, temas leidub vähe kaloreid, ent ohtralt toitained. Pidevalt on räägitud kala söömise kasulikkusest.</w:t>
      </w:r>
    </w:p>
    <w:p w14:paraId="20C4707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Maaeluministeerium tellis 2022. aastal Eesti Konjunktuuriinstituudilt Kala ja kalatoodete tarbimise uuringu. Selle eesmärk oli teada saada, kuidas on muutunud Eesti elanike kala ja kalatoodete tarbimise harjumused perioodil 2020–2023 ning mida peab tarbija silmas kalatooteid valides.</w:t>
      </w:r>
    </w:p>
    <w:p w14:paraId="2B1C83F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Varasemate uuringute puhul olid aluseks leibkonnauuringu andmed. Nii 2021. kui ka 2022. aastal on tarbimiskogused arvutatud ressursipõhiselt. Kalapüügi- ja vesiviljelustoodete ressursse arvutades lähtuti püütud, eksporditud ja imporditud kala kogustest. Ressurssidest (kokku 165 000 tonni) 112 000 tonni eksporditi. Eestisse jäänud ressurssidest 30 200 tonni läks </w:t>
      </w:r>
      <w:proofErr w:type="spellStart"/>
      <w:r>
        <w:rPr>
          <w:rFonts w:ascii="Times New Roman" w:eastAsia="Times New Roman" w:hAnsi="Times New Roman" w:cs="Times New Roman"/>
        </w:rPr>
        <w:t>mittetoiduliseks</w:t>
      </w:r>
      <w:proofErr w:type="spellEnd"/>
      <w:r>
        <w:rPr>
          <w:rFonts w:ascii="Times New Roman" w:eastAsia="Times New Roman" w:hAnsi="Times New Roman" w:cs="Times New Roman"/>
        </w:rPr>
        <w:t xml:space="preserve"> tarbimiseks ning toiduna tarbimiseks jäi arvestuslikult 22 800 tonni ehk 17 kg kala elaniku kohta (maailmas 20,5 kg). Ressursipõhised arvutused näitasid ka seda, et kala ja kalatoodete tarbimine Eestis tõusis 2021. aasta 15,0 kg-lt elaniku kohta (eluskaalus) 2022. aastal 17,0 kg-le ehk kalatoodete tarbimine tõusis aastaga 13%.</w:t>
      </w:r>
    </w:p>
    <w:p w14:paraId="7FFF6DA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Selleks, et hoida kala ja kalatoodete tarbimist senisel tasemel, peaks eestlased sööma kala ja kalatooteid paarist korrast kuus kuni ühe korrani nädalas. Hea on tõdeda, et Eesti Konjunktuuriinstituudi 2022. aastal korraldatud küsitlusele vastanutest enamik ehk 74% seda teevadki. Võrreldes 2020. aastaga oli oluliselt väiksem hulk vastanutest rahul sellega, kui tihti nad kala ja kalatooteid sõid. Kui veel 2020. aastal arvas 39% vastanuist, et nad võiks tihemini kalaroogasid süüa, siis 2022. aastaks oli vastanuist sellel arvamusel lausa 51%.</w:t>
      </w:r>
    </w:p>
    <w:p w14:paraId="051F629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Uuringust nähtub, et enim armastavad eestlased süüa punase lihaga kalu – lõhet ja forelli, kuid ka heeringat. Lõhet nimetas lemmikuna 64% kõigist uuringus osalenutest (2020. a 67%), forelli 46% (2020. a 56%) ja heeringat 40% (2020. a 47%). Mõnevõrra vähem eelistatud kalana koha (25%, 2020. a 34%), lesta, (23%, 2020. a 30%), räime (22%, 2020. a 35%), kilu (21%, 2020. a 34%) ja ahvenat (21%, 2020. a 27%).</w:t>
      </w:r>
    </w:p>
    <w:p w14:paraId="2016CFB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 tarbijad eelistavad toidulaual endiselt värskest ja jahutatud kalast valmistatud kalaroogi, eelkõige lõhest ja forellist tehtud toite, soola- ja vürtsikala ning värskest räimest ja kilust valmistatud kalaroogi.  Kala ostmisel hindasid vastajad kõige tähtsamaks kala värskust, maitset, müügikoha puhtust ja hinda. Kolm esimest tegurit on püsinud esikohal kõikides Eesti Konjunktuuriinstituudi vastavasisulistes küsitlustes alates 2003. aastast, hinnaküsimus on tähtsustunud seoses järskude hinnamuutustega.</w:t>
      </w:r>
    </w:p>
    <w:p w14:paraId="262B7F8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2021. aasta kevadel alanud lõhe hinnatõusu peetakse üheks peamiseks põhjuseks, miks Eesti turul ostetakse kala ja kalatooteid kokku varasemast vähem. Lõhelasi aga tarbiti sellele vaatamata 2022. aastal Eestis elaniku kohta peaaegu kaks korda rohkem kui 2018. aastal.</w:t>
      </w:r>
    </w:p>
    <w:p w14:paraId="6DC8A5B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Külmutatud kala söödi vähem kui värsket ja jahutatud kala, ning kui söödi, siis pigem harvem. See trend ei ole võrreldes eelneva uuringuga muutunud, kuid kogutarbimine selle tooteliigi osas liigub vähenemise suunas. Külmutatud kaladest eelistati lesta, heiki, ahvenat jt selle grupi kalu, mida tarbis 2022. aastal 52% vastanuist (2020. a 57%), neist vähemalt kord kuus valmistas neist </w:t>
      </w:r>
      <w:r>
        <w:rPr>
          <w:rFonts w:ascii="Times New Roman" w:eastAsia="Times New Roman" w:hAnsi="Times New Roman" w:cs="Times New Roman"/>
        </w:rPr>
        <w:lastRenderedPageBreak/>
        <w:t>toitu 19% (2020. a 21%) ja harva 33% (2020. a 36%) vastanuist. Vähem söödi külmutatud lõhe, forelli, koha jt kalu (43%, 2020. a 47%) ning räime, kilu jt kalu (30%, 2020. a 35%). Neid, kes külmutatud kala üldse ei söönud, oli kõige rohkem noorte seas ja kõrgemates palgagruppides.</w:t>
      </w:r>
    </w:p>
    <w:bookmarkStart w:id="33" w:name="_Hlk156306678"/>
    <w:p w14:paraId="458AAD2F" w14:textId="77777777" w:rsidR="008312AA" w:rsidRDefault="00000000">
      <w:pPr>
        <w:spacing w:line="276" w:lineRule="auto"/>
        <w:rPr>
          <w:rFonts w:ascii="Times New Roman" w:hAnsi="Times New Roman" w:cs="Times New Roman"/>
        </w:rPr>
      </w:pPr>
      <w:sdt>
        <w:sdtPr>
          <w:tag w:val="goog_rdk_2"/>
          <w:id w:val="-1554688589"/>
        </w:sdtPr>
        <w:sdtContent>
          <w:r>
            <w:rPr>
              <w:rFonts w:ascii="Times New Roman" w:hAnsi="Times New Roman" w:cs="Times New Roman"/>
            </w:rPr>
            <w:t>Sarnaselt eelnevatele tooteliikidele vähenes ka suitsu-, soola- ja kuivatatud kalade tarbimine. Favoriidiks jäid soolaheeringas, mida tarbis 71% vastanuist (2020. a 79%) ja soolalõhe ning forell, mida samuti tarbis 71% vastanuist (2020. a 74%). Neid tooteid söödi ka kõige sagedamini: kord kuus või tihemini sõi soolaheeringat 42% vastanuist (2020. a 44%) ja soolalõhet ning -forelli 35% (2020. a 38%). Märgatavalt vähenes suitsuräime, suitsukilu, suitsuheeringa jt suitskalade tarbimine, mida tegi 54% (2020. a 62%) ning kuivatatud ja vinnutatud kala tarbimine, mida tegi 47% vastanuist (2020. a 52%). Suitsuräime,-kilu ja -heeringa suhtes olid eriti tõrksad 18−29-aastased noored, kellest ei söönud neid üldse 75% ja üle 2000 € teenivad vastajad, kellest vältis seda tooteliiki 73%.</w:t>
          </w:r>
        </w:sdtContent>
      </w:sdt>
      <w:bookmarkEnd w:id="33"/>
    </w:p>
    <w:p w14:paraId="7422AB0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Tarbitud kala ja kalatoodete kogused kasvasid 2016. ja 2020. aasta võrdluses ca 7%; kulutused neile suurenesid sama ajaga 22% ehk 65,4 € aastas leibkonnaliikme kohta.</w:t>
      </w:r>
    </w:p>
    <w:p w14:paraId="71082C4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Võrreldes teiste toidugruppidega on kala ja kalatoodete tarbitud kogus Eestis elaniku kohta endiselt ligi kuus korda madalam kui liha ja lihatoodete puhul. See suhe kala ja liha vahel on aastate jooksul püsinud pea muutumatuna, sest suurenenud on nii kala- kui ka lihatoodete ostude kulutused.  Rahul ei olda endiselt kala kõrge hinnaga, kuigi elanike sissetulekute tõus on aidanud mõnevõrra seda rahulolematust vähendada. Samuti on kalatoodete valik kauplustes kitsam kui lihatoodete puhul. Seega lihatoodete eelistamise põhjuseks võib pidada nii soodsamaid hindu kui ka mitmekesisemat tootevalikut.</w:t>
      </w:r>
      <w:r>
        <w:rPr>
          <w:rStyle w:val="Allmrkuseviide"/>
          <w:rFonts w:ascii="Times New Roman" w:eastAsia="Times New Roman" w:hAnsi="Times New Roman" w:cs="Times New Roman"/>
        </w:rPr>
        <w:footnoteReference w:id="59"/>
      </w:r>
    </w:p>
    <w:p w14:paraId="61972F4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Saarlaste kala tarbimisharjumused langevad suuresti kokku kogu Eesti samade trendidega, valdavalt eelistatakse punast kala, eelkõige Pähkla forelli, oluliseks peetakse hinna ja kvaliteedi suhet. Kala tarbima harjunud inimesed eelistavad ka kvaliteetset kohalikku kala ja kalakulinaariat.</w:t>
      </w:r>
    </w:p>
    <w:p w14:paraId="07317960" w14:textId="77777777" w:rsidR="00DA3BAA" w:rsidRDefault="00DA3BAA">
      <w:pPr>
        <w:spacing w:line="276" w:lineRule="auto"/>
        <w:rPr>
          <w:rFonts w:ascii="Times New Roman" w:eastAsia="Times New Roman" w:hAnsi="Times New Roman" w:cs="Times New Roman"/>
        </w:rPr>
      </w:pPr>
    </w:p>
    <w:p w14:paraId="596BF285" w14:textId="4873854F" w:rsidR="00DA3BAA" w:rsidRPr="00DA3BAA" w:rsidRDefault="00DA3BAA" w:rsidP="00DA3BAA">
      <w:pPr>
        <w:pStyle w:val="Pealkiri2"/>
        <w:spacing w:line="276" w:lineRule="auto"/>
        <w:ind w:left="2268" w:hanging="2231"/>
        <w:jc w:val="left"/>
        <w:rPr>
          <w:rFonts w:ascii="Times New Roman" w:hAnsi="Times New Roman" w:cs="Times New Roman"/>
          <w:color w:val="7030A0"/>
          <w:sz w:val="28"/>
          <w:szCs w:val="28"/>
        </w:rPr>
      </w:pPr>
      <w:bookmarkStart w:id="34" w:name="_Toc157420947"/>
      <w:r w:rsidRPr="00DA3BAA">
        <w:rPr>
          <w:rFonts w:ascii="Times New Roman" w:eastAsia="Times New Roman" w:hAnsi="Times New Roman" w:cs="Times New Roman"/>
          <w:color w:val="7030A0"/>
          <w:sz w:val="28"/>
          <w:szCs w:val="28"/>
        </w:rPr>
        <w:t>1.9. K</w:t>
      </w:r>
      <w:r w:rsidRPr="00DA3BAA">
        <w:rPr>
          <w:rFonts w:ascii="Times New Roman" w:hAnsi="Times New Roman" w:cs="Times New Roman"/>
          <w:color w:val="7030A0"/>
          <w:sz w:val="28"/>
          <w:szCs w:val="28"/>
        </w:rPr>
        <w:t>alanduse kui tegevusala tuntus kalanduspiirkonnas.</w:t>
      </w:r>
      <w:bookmarkEnd w:id="34"/>
    </w:p>
    <w:p w14:paraId="4E67677A" w14:textId="1D43CF9B" w:rsidR="00DA3BAA" w:rsidRDefault="00DA3BAA">
      <w:pPr>
        <w:spacing w:line="276" w:lineRule="auto"/>
        <w:rPr>
          <w:rFonts w:ascii="Times New Roman" w:eastAsia="Times New Roman" w:hAnsi="Times New Roman" w:cs="Times New Roman"/>
        </w:rPr>
      </w:pPr>
    </w:p>
    <w:p w14:paraId="7FFE8DE3" w14:textId="52958DA2"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Eelmisel strateegiaperioodil pöörati suurt tähelepanu kala tarbimisharjumuste kujundamisele  laste ja noorte seas, EMKF toetuse abil korraldati erinevaid kalandust tutvustavaid praktilisi koolitusi Saaremaa koolide õpilastele (</w:t>
      </w:r>
      <w:proofErr w:type="spellStart"/>
      <w:r>
        <w:rPr>
          <w:rFonts w:ascii="Times New Roman" w:eastAsia="Times New Roman" w:hAnsi="Times New Roman" w:cs="Times New Roman"/>
        </w:rPr>
        <w:t>õpituba</w:t>
      </w:r>
      <w:proofErr w:type="spellEnd"/>
      <w:r>
        <w:rPr>
          <w:rFonts w:ascii="Times New Roman" w:eastAsia="Times New Roman" w:hAnsi="Times New Roman" w:cs="Times New Roman"/>
        </w:rPr>
        <w:t xml:space="preserve"> “Kena kala”, “Merelised õpiretked ja merendusalased õpitoad”, “Kalaõpi Majakas” jms), mille tulemusena tõusis kala tarbimise harjumus laste ja noorte seas üsna tugevalt. Koolides läbiviidud küsitluste alusel on paljud lapsed, kes varem peale kalapulga muud kala ei söönud, hakanud kala tarbima ja omakorda on see parandanud ka perede kala tarbimise harjumusi.  Lapsevanemate ja õpetajate vastustest nähtus see, et kala söödaks palju rohkem kui selle hind oleks madalam.</w:t>
      </w:r>
    </w:p>
    <w:p w14:paraId="59EB9F36" w14:textId="77777777" w:rsidR="006B6C8A" w:rsidRDefault="00000000" w:rsidP="006B6C8A">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Muhu ja Ruhnu saared  oma ajaloolisest kuvandist tulenevalt  on alati olnud seotud kalandusega ehk kalandus kui tegevusala on olnud piirkonnale üheks olulisemaks </w:t>
      </w:r>
      <w:r>
        <w:rPr>
          <w:rFonts w:ascii="Times New Roman" w:eastAsia="Times New Roman" w:hAnsi="Times New Roman" w:cs="Times New Roman"/>
        </w:rPr>
        <w:lastRenderedPageBreak/>
        <w:t xml:space="preserve">tegevusharuks. Rannakalanduse traditsioonide säilitamisele ja kalanduse kui tegevusala </w:t>
      </w:r>
      <w:proofErr w:type="spellStart"/>
      <w:r>
        <w:rPr>
          <w:rFonts w:ascii="Times New Roman" w:eastAsia="Times New Roman" w:hAnsi="Times New Roman" w:cs="Times New Roman"/>
        </w:rPr>
        <w:t>populsriseerimisele</w:t>
      </w:r>
      <w:proofErr w:type="spellEnd"/>
      <w:r>
        <w:rPr>
          <w:rFonts w:ascii="Times New Roman" w:eastAsia="Times New Roman" w:hAnsi="Times New Roman" w:cs="Times New Roman"/>
        </w:rPr>
        <w:t xml:space="preserve"> on kindlasti kaasa aidanud Saaremaa Kalurite Päeva korraldamine, mida on tähistatud juba alates 1922. a. Väga menukaks osutusid Kuressaare Merepäevade raames korraldatud Saaremaa väikesadamate kontserdid, kus lisaks meelelahutusele tutvustati ka kohaliku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traditsioone ja mereohutust. Samuti on  kalanduse kui tegevusala tuntusele piirkonnas kaasa aidanud EMKF meetme 3.4. “Algatusrühma koostöötegevused” toel korraldatud Avatud Kalasadamate päevad</w:t>
      </w:r>
    </w:p>
    <w:p w14:paraId="59377876" w14:textId="3398F73D" w:rsidR="008312AA" w:rsidRPr="006B6C8A" w:rsidRDefault="006B6C8A" w:rsidP="00541032">
      <w:pPr>
        <w:pStyle w:val="Pealkiri1"/>
        <w:ind w:hanging="2229"/>
        <w:jc w:val="left"/>
        <w:rPr>
          <w:rFonts w:ascii="Times New Roman" w:eastAsia="Times New Roman" w:hAnsi="Times New Roman" w:cs="Times New Roman"/>
        </w:rPr>
      </w:pPr>
      <w:r>
        <w:rPr>
          <w:rFonts w:eastAsia="Times New Roman"/>
        </w:rPr>
        <w:br w:type="page"/>
      </w:r>
      <w:bookmarkStart w:id="35" w:name="_Toc157420948"/>
      <w:r w:rsidRPr="006B6C8A">
        <w:rPr>
          <w:rFonts w:ascii="Times New Roman" w:hAnsi="Times New Roman" w:cs="Times New Roman"/>
        </w:rPr>
        <w:lastRenderedPageBreak/>
        <w:t>2. Kalanduspiirkonna arenguvajaduste ja potentsiaali analüüs</w:t>
      </w:r>
      <w:bookmarkEnd w:id="35"/>
    </w:p>
    <w:p w14:paraId="4015207B" w14:textId="77777777" w:rsidR="008312AA" w:rsidRDefault="008312AA">
      <w:pPr>
        <w:spacing w:line="276" w:lineRule="auto"/>
        <w:rPr>
          <w:rFonts w:ascii="Times New Roman" w:eastAsia="Times New Roman" w:hAnsi="Times New Roman" w:cs="Times New Roman"/>
        </w:rPr>
      </w:pPr>
    </w:p>
    <w:p w14:paraId="058BF1D1" w14:textId="7CCF1D40"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Siin peatükis antakse ülevaade Saaremaa kalanduspiirkonna arenguvajadustest, mis tulenevad </w:t>
      </w:r>
      <w:r w:rsidR="00AB289A">
        <w:rPr>
          <w:rFonts w:ascii="Times New Roman" w:eastAsia="Times New Roman" w:hAnsi="Times New Roman" w:cs="Times New Roman"/>
        </w:rPr>
        <w:t xml:space="preserve">kalanduspiirkonna </w:t>
      </w:r>
      <w:proofErr w:type="spellStart"/>
      <w:r w:rsidR="00AB289A">
        <w:rPr>
          <w:rFonts w:ascii="Times New Roman" w:eastAsia="Times New Roman" w:hAnsi="Times New Roman" w:cs="Times New Roman"/>
        </w:rPr>
        <w:t>üldanalüüsi</w:t>
      </w:r>
      <w:proofErr w:type="spellEnd"/>
      <w:r w:rsidR="00AB289A">
        <w:rPr>
          <w:rFonts w:ascii="Times New Roman" w:eastAsia="Times New Roman" w:hAnsi="Times New Roman" w:cs="Times New Roman"/>
        </w:rPr>
        <w:t xml:space="preserve"> ja </w:t>
      </w:r>
      <w:r>
        <w:rPr>
          <w:rFonts w:ascii="Times New Roman" w:eastAsia="Times New Roman" w:hAnsi="Times New Roman" w:cs="Times New Roman"/>
        </w:rPr>
        <w:t xml:space="preserve">SWOT </w:t>
      </w:r>
      <w:r w:rsidR="00AB289A">
        <w:rPr>
          <w:rFonts w:ascii="Times New Roman" w:eastAsia="Times New Roman" w:hAnsi="Times New Roman" w:cs="Times New Roman"/>
        </w:rPr>
        <w:t>ning</w:t>
      </w:r>
      <w:r>
        <w:rPr>
          <w:rFonts w:ascii="Times New Roman" w:eastAsia="Times New Roman" w:hAnsi="Times New Roman" w:cs="Times New Roman"/>
        </w:rPr>
        <w:t xml:space="preserve"> TOWS analüüside koosmõjust.</w:t>
      </w:r>
    </w:p>
    <w:p w14:paraId="64C89E50" w14:textId="77777777" w:rsidR="008312AA" w:rsidRDefault="008312AA">
      <w:pPr>
        <w:spacing w:line="276" w:lineRule="auto"/>
        <w:rPr>
          <w:rFonts w:ascii="Times New Roman" w:eastAsia="Times New Roman" w:hAnsi="Times New Roman" w:cs="Times New Roman"/>
        </w:rPr>
      </w:pPr>
      <w:bookmarkStart w:id="36" w:name="_heading=h.ohjll5m4hpd0"/>
      <w:bookmarkEnd w:id="36"/>
    </w:p>
    <w:p w14:paraId="7F6E5686"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37" w:name="_heading=h.95x21rcx6rtu"/>
      <w:bookmarkStart w:id="38" w:name="_Toc157420949"/>
      <w:bookmarkEnd w:id="37"/>
      <w:r>
        <w:rPr>
          <w:rFonts w:ascii="Times New Roman" w:eastAsia="Times New Roman" w:hAnsi="Times New Roman" w:cs="Times New Roman"/>
          <w:color w:val="7030A0"/>
          <w:sz w:val="28"/>
          <w:szCs w:val="28"/>
        </w:rPr>
        <w:t>2.2. Piirkonna SWOT ja TOWS analüüsid</w:t>
      </w:r>
      <w:bookmarkEnd w:id="38"/>
    </w:p>
    <w:p w14:paraId="46FA4F5C" w14:textId="77777777" w:rsidR="008312AA" w:rsidRDefault="00000000">
      <w:pPr>
        <w:spacing w:before="120" w:line="276" w:lineRule="auto"/>
        <w:rPr>
          <w:rFonts w:ascii="Times New Roman" w:eastAsia="Times New Roman" w:hAnsi="Times New Roman" w:cs="Times New Roman"/>
        </w:rPr>
      </w:pPr>
      <w:r>
        <w:rPr>
          <w:rFonts w:ascii="Times New Roman" w:eastAsia="Times New Roman" w:hAnsi="Times New Roman" w:cs="Times New Roman"/>
        </w:rPr>
        <w:t>SWOT analüüsi käigus, mille sisendid saadi valdavalt kaasamiskoosolekutelt, mis toimusid 21. 05.2021. a ja 11.02.2022. a, kaardistati Saaremaa kalanduspiirkonna olukord, koosolekutel toodi välja piirkonna tugevused, võimalused, nõrkused ja ohud.</w:t>
      </w:r>
    </w:p>
    <w:p w14:paraId="0BC35FDB" w14:textId="77777777" w:rsidR="008312AA" w:rsidRDefault="008312AA">
      <w:pPr>
        <w:pStyle w:val="Pealkiri3"/>
        <w:spacing w:line="276" w:lineRule="auto"/>
        <w:ind w:left="0" w:firstLine="0"/>
        <w:rPr>
          <w:rFonts w:ascii="Times New Roman" w:hAnsi="Times New Roman" w:cs="Times New Roman"/>
          <w:color w:val="auto"/>
        </w:rPr>
      </w:pPr>
    </w:p>
    <w:p w14:paraId="61410975" w14:textId="77777777" w:rsidR="008312AA" w:rsidRDefault="00000000" w:rsidP="00541032">
      <w:pPr>
        <w:pStyle w:val="Pealkiri3"/>
        <w:spacing w:line="276" w:lineRule="auto"/>
        <w:ind w:left="0" w:firstLine="0"/>
        <w:jc w:val="left"/>
        <w:rPr>
          <w:rFonts w:ascii="Times New Roman" w:hAnsi="Times New Roman" w:cs="Times New Roman"/>
          <w:color w:val="002060"/>
        </w:rPr>
      </w:pPr>
      <w:bookmarkStart w:id="39" w:name="_Toc157420950"/>
      <w:r>
        <w:rPr>
          <w:rFonts w:ascii="Times New Roman" w:hAnsi="Times New Roman" w:cs="Times New Roman"/>
          <w:color w:val="002060"/>
        </w:rPr>
        <w:t>2.2.1. SWOT analüüs</w:t>
      </w:r>
      <w:bookmarkEnd w:id="39"/>
    </w:p>
    <w:tbl>
      <w:tblPr>
        <w:tblStyle w:val="Kontuurtabel"/>
        <w:tblW w:w="9039" w:type="dxa"/>
        <w:tblLayout w:type="fixed"/>
        <w:tblLook w:val="04A0" w:firstRow="1" w:lastRow="0" w:firstColumn="1" w:lastColumn="0" w:noHBand="0" w:noVBand="1"/>
      </w:tblPr>
      <w:tblGrid>
        <w:gridCol w:w="9039"/>
      </w:tblGrid>
      <w:tr w:rsidR="008312AA" w14:paraId="0FC35CDE" w14:textId="77777777">
        <w:tc>
          <w:tcPr>
            <w:tcW w:w="9039" w:type="dxa"/>
            <w:shd w:val="clear" w:color="auto" w:fill="C2F2F8"/>
          </w:tcPr>
          <w:p w14:paraId="1714B07D" w14:textId="77777777" w:rsidR="008312AA" w:rsidRDefault="00000000">
            <w:pPr>
              <w:spacing w:before="120" w:line="276" w:lineRule="auto"/>
              <w:rPr>
                <w:rFonts w:ascii="Times New Roman" w:eastAsia="Times New Roman" w:hAnsi="Times New Roman" w:cs="Times New Roman"/>
                <w:b/>
                <w:bCs/>
              </w:rPr>
            </w:pPr>
            <w:r>
              <w:rPr>
                <w:rFonts w:ascii="Times New Roman" w:eastAsia="Times New Roman" w:hAnsi="Times New Roman" w:cs="Times New Roman"/>
                <w:b/>
                <w:bCs/>
              </w:rPr>
              <w:t>Tugevused</w:t>
            </w:r>
          </w:p>
        </w:tc>
      </w:tr>
    </w:tbl>
    <w:p w14:paraId="54CE5FA1" w14:textId="78738DF4" w:rsidR="008312AA" w:rsidRDefault="00000000">
      <w:pPr>
        <w:pStyle w:val="Loendilik"/>
        <w:numPr>
          <w:ilvl w:val="0"/>
          <w:numId w:val="5"/>
        </w:numPr>
        <w:spacing w:line="276" w:lineRule="auto"/>
        <w:rPr>
          <w:rFonts w:ascii="Times New Roman" w:eastAsia="Times New Roman" w:hAnsi="Times New Roman" w:cs="Times New Roman"/>
        </w:rPr>
      </w:pPr>
      <w:r>
        <w:rPr>
          <w:rFonts w:ascii="Times New Roman" w:eastAsia="Times New Roman" w:hAnsi="Times New Roman" w:cs="Times New Roman"/>
        </w:rPr>
        <w:t>pikaajalise praktilise kogemuse ja ajalooliste püügiõigustega kalurkond on vaatamata sektorit tabanud raskustele tegus</w:t>
      </w:r>
      <w:r w:rsidR="00CF3F10">
        <w:rPr>
          <w:rFonts w:ascii="Times New Roman" w:eastAsia="Times New Roman" w:hAnsi="Times New Roman" w:cs="Times New Roman"/>
        </w:rPr>
        <w:t xml:space="preserve"> (strateegia punkt</w:t>
      </w:r>
      <w:r w:rsidR="00FE232F">
        <w:rPr>
          <w:rFonts w:ascii="Times New Roman" w:eastAsia="Times New Roman" w:hAnsi="Times New Roman" w:cs="Times New Roman"/>
        </w:rPr>
        <w:t>id</w:t>
      </w:r>
      <w:r w:rsidR="001F7A90">
        <w:rPr>
          <w:rFonts w:ascii="Times New Roman" w:eastAsia="Times New Roman" w:hAnsi="Times New Roman" w:cs="Times New Roman"/>
        </w:rPr>
        <w:t xml:space="preserve"> 1.2, </w:t>
      </w:r>
      <w:r w:rsidR="00B9108F">
        <w:rPr>
          <w:rFonts w:ascii="Times New Roman" w:eastAsia="Times New Roman" w:hAnsi="Times New Roman" w:cs="Times New Roman"/>
        </w:rPr>
        <w:t>1.2.1- 1.2.3,</w:t>
      </w:r>
      <w:r w:rsidR="00CF3F10">
        <w:rPr>
          <w:rFonts w:ascii="Times New Roman" w:eastAsia="Times New Roman" w:hAnsi="Times New Roman" w:cs="Times New Roman"/>
        </w:rPr>
        <w:t xml:space="preserve"> </w:t>
      </w:r>
      <w:r w:rsidR="00FE232F">
        <w:rPr>
          <w:rFonts w:ascii="Times New Roman" w:eastAsia="Times New Roman" w:hAnsi="Times New Roman" w:cs="Times New Roman"/>
        </w:rPr>
        <w:t>1.4, 1.7.)</w:t>
      </w:r>
      <w:r>
        <w:rPr>
          <w:rFonts w:ascii="Times New Roman" w:eastAsia="Times New Roman" w:hAnsi="Times New Roman" w:cs="Times New Roman"/>
        </w:rPr>
        <w:t>;</w:t>
      </w:r>
    </w:p>
    <w:p w14:paraId="0C37790F" w14:textId="20970B9E" w:rsidR="008312AA" w:rsidRDefault="00000000">
      <w:pPr>
        <w:pStyle w:val="Loendilik"/>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kohaliku tegevusrühma meeskond on strateegia elluviimise ja projektide läbiviimise kogemusega ning aktiivne</w:t>
      </w:r>
      <w:r w:rsidR="00FE232F">
        <w:rPr>
          <w:rFonts w:ascii="Times New Roman" w:eastAsia="Times New Roman" w:hAnsi="Times New Roman" w:cs="Times New Roman"/>
        </w:rPr>
        <w:t xml:space="preserve"> (strateegia punktid 6.1, 6.2, 6.3, 6.4);</w:t>
      </w:r>
    </w:p>
    <w:p w14:paraId="472BF88F" w14:textId="7FD8B8F2" w:rsidR="008312AA" w:rsidRDefault="00000000">
      <w:pPr>
        <w:pStyle w:val="Loendilik"/>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kohaliku tegevusrühma liikmeskond on otsuste tegemisse kaasatud</w:t>
      </w:r>
      <w:r w:rsidR="00FE232F">
        <w:rPr>
          <w:rFonts w:ascii="Times New Roman" w:eastAsia="Times New Roman" w:hAnsi="Times New Roman" w:cs="Times New Roman"/>
        </w:rPr>
        <w:t xml:space="preserve"> (strateegia punkt</w:t>
      </w:r>
      <w:r w:rsidR="001F7A90">
        <w:rPr>
          <w:rFonts w:ascii="Times New Roman" w:eastAsia="Times New Roman" w:hAnsi="Times New Roman" w:cs="Times New Roman"/>
        </w:rPr>
        <w:t>id</w:t>
      </w:r>
      <w:r w:rsidR="00FE232F">
        <w:rPr>
          <w:rFonts w:ascii="Times New Roman" w:eastAsia="Times New Roman" w:hAnsi="Times New Roman" w:cs="Times New Roman"/>
        </w:rPr>
        <w:t xml:space="preserve"> 5, </w:t>
      </w:r>
      <w:r w:rsidR="00B9108F">
        <w:rPr>
          <w:rFonts w:ascii="Times New Roman" w:eastAsia="Times New Roman" w:hAnsi="Times New Roman" w:cs="Times New Roman"/>
        </w:rPr>
        <w:t xml:space="preserve">6.5, </w:t>
      </w:r>
      <w:r w:rsidR="00FE232F">
        <w:rPr>
          <w:rFonts w:ascii="Times New Roman" w:eastAsia="Times New Roman" w:hAnsi="Times New Roman" w:cs="Times New Roman"/>
        </w:rPr>
        <w:t>strateegia lisa nr 1);</w:t>
      </w:r>
    </w:p>
    <w:p w14:paraId="7CEB640E" w14:textId="10D09D37" w:rsidR="008312AA" w:rsidRDefault="00000000">
      <w:pPr>
        <w:pStyle w:val="Loendilik"/>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peamised sadamad on korras, olemas on lossimise ja esmase töötlemise tingimused</w:t>
      </w:r>
      <w:r w:rsidR="00FE232F">
        <w:rPr>
          <w:rFonts w:ascii="Times New Roman" w:eastAsia="Times New Roman" w:hAnsi="Times New Roman" w:cs="Times New Roman"/>
        </w:rPr>
        <w:t xml:space="preserve"> (strateegia punkt 1.6</w:t>
      </w:r>
      <w:r w:rsidR="001F7A90">
        <w:rPr>
          <w:rFonts w:ascii="Times New Roman" w:eastAsia="Times New Roman" w:hAnsi="Times New Roman" w:cs="Times New Roman"/>
        </w:rPr>
        <w:t>, strateegia lisad nr 4 ja 7)</w:t>
      </w:r>
      <w:r>
        <w:rPr>
          <w:rFonts w:ascii="Times New Roman" w:eastAsia="Times New Roman" w:hAnsi="Times New Roman" w:cs="Times New Roman"/>
        </w:rPr>
        <w:t>;</w:t>
      </w:r>
    </w:p>
    <w:p w14:paraId="6D6A72AE" w14:textId="5097BA85" w:rsidR="008312AA" w:rsidRDefault="00000000">
      <w:pPr>
        <w:pStyle w:val="Loendilik"/>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Saaremaal on jätkuvalt olemas kalatööstus, vesiviljelus, kalurite oskused </w:t>
      </w:r>
      <w:proofErr w:type="spellStart"/>
      <w:r>
        <w:rPr>
          <w:rFonts w:ascii="Times New Roman" w:eastAsia="Times New Roman" w:hAnsi="Times New Roman" w:cs="Times New Roman"/>
        </w:rPr>
        <w:t>väärindamisel</w:t>
      </w:r>
      <w:proofErr w:type="spellEnd"/>
      <w:r>
        <w:rPr>
          <w:rFonts w:ascii="Times New Roman" w:eastAsia="Times New Roman" w:hAnsi="Times New Roman" w:cs="Times New Roman"/>
        </w:rPr>
        <w:t xml:space="preserve"> on tänu eelmise strateegiaperioodi tulemustele mõnevõrra  paranenud</w:t>
      </w:r>
      <w:r w:rsidR="001F7A90">
        <w:rPr>
          <w:rFonts w:ascii="Times New Roman" w:eastAsia="Times New Roman" w:hAnsi="Times New Roman" w:cs="Times New Roman"/>
        </w:rPr>
        <w:t xml:space="preserve"> (strateegia punktid 1.1.3, 1.2.5, 1.7</w:t>
      </w:r>
      <w:r w:rsidR="00BA383F">
        <w:rPr>
          <w:rFonts w:ascii="Times New Roman" w:eastAsia="Times New Roman" w:hAnsi="Times New Roman" w:cs="Times New Roman"/>
        </w:rPr>
        <w:t>)</w:t>
      </w:r>
      <w:r>
        <w:rPr>
          <w:rFonts w:ascii="Times New Roman" w:eastAsia="Times New Roman" w:hAnsi="Times New Roman" w:cs="Times New Roman"/>
        </w:rPr>
        <w:t>;</w:t>
      </w:r>
    </w:p>
    <w:p w14:paraId="27BE7852" w14:textId="09640CD3" w:rsidR="008312AA" w:rsidRDefault="00000000">
      <w:pPr>
        <w:pStyle w:val="Loendilik"/>
        <w:numPr>
          <w:ilvl w:val="0"/>
          <w:numId w:val="1"/>
        </w:numPr>
        <w:spacing w:line="276" w:lineRule="auto"/>
        <w:rPr>
          <w:rFonts w:ascii="Times New Roman" w:eastAsia="Times New Roman" w:hAnsi="Times New Roman" w:cs="Times New Roman"/>
        </w:rPr>
      </w:pPr>
      <w:r>
        <w:rPr>
          <w:rFonts w:ascii="Times New Roman" w:eastAsia="Times New Roman" w:hAnsi="Times New Roman" w:cs="Times New Roman"/>
        </w:rPr>
        <w:t>Saaremaa kuvand on jätkuvalt positiivne</w:t>
      </w:r>
      <w:r w:rsidR="001F7A90">
        <w:rPr>
          <w:rFonts w:ascii="Times New Roman" w:eastAsia="Times New Roman" w:hAnsi="Times New Roman" w:cs="Times New Roman"/>
        </w:rPr>
        <w:t xml:space="preserve"> (strateegia punkt</w:t>
      </w:r>
      <w:r w:rsidR="00B9108F">
        <w:rPr>
          <w:rFonts w:ascii="Times New Roman" w:eastAsia="Times New Roman" w:hAnsi="Times New Roman" w:cs="Times New Roman"/>
        </w:rPr>
        <w:t>id 1.1, 1.1.3</w:t>
      </w:r>
      <w:r w:rsidR="001A62D2">
        <w:rPr>
          <w:rFonts w:ascii="Times New Roman" w:eastAsia="Times New Roman" w:hAnsi="Times New Roman" w:cs="Times New Roman"/>
        </w:rPr>
        <w:t>)</w:t>
      </w:r>
      <w:r>
        <w:rPr>
          <w:rFonts w:ascii="Times New Roman" w:eastAsia="Times New Roman" w:hAnsi="Times New Roman" w:cs="Times New Roman"/>
        </w:rPr>
        <w:t>.</w:t>
      </w:r>
    </w:p>
    <w:p w14:paraId="511AA60C" w14:textId="77777777" w:rsidR="008312AA" w:rsidRDefault="008312AA">
      <w:pPr>
        <w:spacing w:before="120" w:line="276" w:lineRule="auto"/>
        <w:rPr>
          <w:rFonts w:ascii="Times New Roman" w:eastAsia="Times New Roman" w:hAnsi="Times New Roman" w:cs="Times New Roman"/>
          <w:b/>
          <w:bCs/>
        </w:rPr>
      </w:pPr>
    </w:p>
    <w:tbl>
      <w:tblPr>
        <w:tblStyle w:val="Kontuurtabel"/>
        <w:tblW w:w="9039" w:type="dxa"/>
        <w:tblLayout w:type="fixed"/>
        <w:tblLook w:val="04A0" w:firstRow="1" w:lastRow="0" w:firstColumn="1" w:lastColumn="0" w:noHBand="0" w:noVBand="1"/>
      </w:tblPr>
      <w:tblGrid>
        <w:gridCol w:w="9039"/>
      </w:tblGrid>
      <w:tr w:rsidR="008312AA" w14:paraId="533F9AC6" w14:textId="77777777">
        <w:tc>
          <w:tcPr>
            <w:tcW w:w="9039" w:type="dxa"/>
            <w:shd w:val="clear" w:color="auto" w:fill="C2F2F8"/>
          </w:tcPr>
          <w:p w14:paraId="06610669" w14:textId="77777777" w:rsidR="008312AA" w:rsidRDefault="00000000">
            <w:pPr>
              <w:spacing w:before="120" w:line="276" w:lineRule="auto"/>
              <w:rPr>
                <w:rFonts w:ascii="Times New Roman" w:eastAsia="Times New Roman" w:hAnsi="Times New Roman" w:cs="Times New Roman"/>
                <w:b/>
                <w:bCs/>
              </w:rPr>
            </w:pPr>
            <w:r>
              <w:rPr>
                <w:rFonts w:ascii="Times New Roman" w:eastAsia="Times New Roman" w:hAnsi="Times New Roman" w:cs="Times New Roman"/>
                <w:b/>
                <w:bCs/>
              </w:rPr>
              <w:t>Nõrkused</w:t>
            </w:r>
          </w:p>
        </w:tc>
      </w:tr>
    </w:tbl>
    <w:p w14:paraId="4A217359" w14:textId="0273A07E" w:rsidR="008312AA" w:rsidRDefault="00000000">
      <w:pPr>
        <w:pStyle w:val="Loendilik"/>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kalurid on jätkuvalt vananev põlvkond, noorte juurdekasvu on vähe</w:t>
      </w:r>
      <w:r w:rsidR="00B9108F">
        <w:rPr>
          <w:rFonts w:ascii="Times New Roman" w:eastAsia="Times New Roman" w:hAnsi="Times New Roman" w:cs="Times New Roman"/>
        </w:rPr>
        <w:t xml:space="preserve"> (strateegia punkt</w:t>
      </w:r>
      <w:r w:rsidR="00500191">
        <w:rPr>
          <w:rFonts w:ascii="Times New Roman" w:eastAsia="Times New Roman" w:hAnsi="Times New Roman" w:cs="Times New Roman"/>
        </w:rPr>
        <w:t xml:space="preserve"> 1.4)</w:t>
      </w:r>
      <w:r>
        <w:rPr>
          <w:rFonts w:ascii="Times New Roman" w:eastAsia="Times New Roman" w:hAnsi="Times New Roman" w:cs="Times New Roman"/>
        </w:rPr>
        <w:t>;</w:t>
      </w:r>
    </w:p>
    <w:p w14:paraId="0052F9DF" w14:textId="779C052D" w:rsidR="008312AA" w:rsidRDefault="00000000">
      <w:pPr>
        <w:pStyle w:val="Loendilik"/>
        <w:numPr>
          <w:ilvl w:val="0"/>
          <w:numId w:val="2"/>
        </w:numPr>
        <w:spacing w:after="0" w:line="276" w:lineRule="auto"/>
        <w:rPr>
          <w:rFonts w:ascii="Times New Roman" w:eastAsia="Times New Roman" w:hAnsi="Times New Roman" w:cs="Times New Roman"/>
        </w:rPr>
      </w:pPr>
      <w:r>
        <w:rPr>
          <w:rFonts w:ascii="Times New Roman" w:eastAsia="Times New Roman" w:hAnsi="Times New Roman" w:cs="Times New Roman"/>
        </w:rPr>
        <w:t>kaluriametiga alustamine on raske ja kulukas (püügiõiguse saamine, -vahendite soetamine)</w:t>
      </w:r>
      <w:r w:rsidR="00B9108F">
        <w:rPr>
          <w:rFonts w:ascii="Times New Roman" w:eastAsia="Times New Roman" w:hAnsi="Times New Roman" w:cs="Times New Roman"/>
        </w:rPr>
        <w:t>, (strateegia punkt</w:t>
      </w:r>
      <w:r w:rsidR="003D09AF">
        <w:rPr>
          <w:rFonts w:ascii="Times New Roman" w:eastAsia="Times New Roman" w:hAnsi="Times New Roman" w:cs="Times New Roman"/>
        </w:rPr>
        <w:t>id</w:t>
      </w:r>
      <w:r w:rsidR="00B9108F">
        <w:rPr>
          <w:rFonts w:ascii="Times New Roman" w:eastAsia="Times New Roman" w:hAnsi="Times New Roman" w:cs="Times New Roman"/>
        </w:rPr>
        <w:t xml:space="preserve"> </w:t>
      </w:r>
      <w:r w:rsidR="003D09AF">
        <w:rPr>
          <w:rFonts w:ascii="Times New Roman" w:eastAsia="Times New Roman" w:hAnsi="Times New Roman" w:cs="Times New Roman"/>
        </w:rPr>
        <w:t xml:space="preserve">1.1.2, </w:t>
      </w:r>
      <w:r w:rsidR="00500191">
        <w:rPr>
          <w:rFonts w:ascii="Times New Roman" w:eastAsia="Times New Roman" w:hAnsi="Times New Roman" w:cs="Times New Roman"/>
        </w:rPr>
        <w:t>1.4</w:t>
      </w:r>
      <w:r w:rsidR="00B9108F">
        <w:rPr>
          <w:rFonts w:ascii="Times New Roman" w:eastAsia="Times New Roman" w:hAnsi="Times New Roman" w:cs="Times New Roman"/>
        </w:rPr>
        <w:t>);</w:t>
      </w:r>
    </w:p>
    <w:p w14:paraId="0A48A001" w14:textId="72899CD9" w:rsidR="008312AA" w:rsidRDefault="00000000">
      <w:pPr>
        <w:pStyle w:val="Loendilik"/>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rannakalandus ei taga aastaringset stabiilset sissetulekut</w:t>
      </w:r>
      <w:r w:rsidR="00B9108F">
        <w:rPr>
          <w:rFonts w:ascii="Times New Roman" w:eastAsia="Times New Roman" w:hAnsi="Times New Roman" w:cs="Times New Roman"/>
        </w:rPr>
        <w:t xml:space="preserve"> (strateegia punkt</w:t>
      </w:r>
      <w:r w:rsidR="00500191">
        <w:rPr>
          <w:rFonts w:ascii="Times New Roman" w:eastAsia="Times New Roman" w:hAnsi="Times New Roman" w:cs="Times New Roman"/>
        </w:rPr>
        <w:t xml:space="preserve"> 1.4</w:t>
      </w:r>
      <w:r w:rsidR="00B9108F">
        <w:rPr>
          <w:rFonts w:ascii="Times New Roman" w:eastAsia="Times New Roman" w:hAnsi="Times New Roman" w:cs="Times New Roman"/>
        </w:rPr>
        <w:t>);</w:t>
      </w:r>
    </w:p>
    <w:p w14:paraId="1F2EFE7D" w14:textId="44646608" w:rsidR="008312AA" w:rsidRDefault="00000000">
      <w:pPr>
        <w:pStyle w:val="Loendilik"/>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kalavarud on ebastabiilsed, vähenemisele on kaasa aidanud hüljeste ja kormoranide arvukuse kiire tõus</w:t>
      </w:r>
      <w:r w:rsidR="00B9108F">
        <w:rPr>
          <w:rFonts w:ascii="Times New Roman" w:eastAsia="Times New Roman" w:hAnsi="Times New Roman" w:cs="Times New Roman"/>
        </w:rPr>
        <w:t xml:space="preserve"> (strateegia punkt</w:t>
      </w:r>
      <w:r w:rsidR="004C4A73">
        <w:rPr>
          <w:rFonts w:ascii="Times New Roman" w:eastAsia="Times New Roman" w:hAnsi="Times New Roman" w:cs="Times New Roman"/>
        </w:rPr>
        <w:t xml:space="preserve"> 1.3</w:t>
      </w:r>
      <w:r w:rsidR="00B9108F">
        <w:rPr>
          <w:rFonts w:ascii="Times New Roman" w:eastAsia="Times New Roman" w:hAnsi="Times New Roman" w:cs="Times New Roman"/>
        </w:rPr>
        <w:t>);</w:t>
      </w:r>
    </w:p>
    <w:p w14:paraId="51C8A219" w14:textId="0F20273C" w:rsidR="008312AA" w:rsidRDefault="00000000">
      <w:pPr>
        <w:pStyle w:val="Loendilik"/>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kalurite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turunduse ja müügi oskused on tagasihoidlikud ega soosi väärtusahelas ülespoole liikumist</w:t>
      </w:r>
      <w:r w:rsidR="00B9108F">
        <w:rPr>
          <w:rFonts w:ascii="Times New Roman" w:eastAsia="Times New Roman" w:hAnsi="Times New Roman" w:cs="Times New Roman"/>
        </w:rPr>
        <w:t xml:space="preserve"> (strateegia punkt </w:t>
      </w:r>
      <w:r w:rsidR="002A649F">
        <w:rPr>
          <w:rFonts w:ascii="Times New Roman" w:eastAsia="Times New Roman" w:hAnsi="Times New Roman" w:cs="Times New Roman"/>
        </w:rPr>
        <w:t>1.4</w:t>
      </w:r>
      <w:r w:rsidR="003D09AF">
        <w:rPr>
          <w:rFonts w:ascii="Times New Roman" w:eastAsia="Times New Roman" w:hAnsi="Times New Roman" w:cs="Times New Roman"/>
        </w:rPr>
        <w:t>, 1.7</w:t>
      </w:r>
      <w:r w:rsidR="00B9108F">
        <w:rPr>
          <w:rFonts w:ascii="Times New Roman" w:eastAsia="Times New Roman" w:hAnsi="Times New Roman" w:cs="Times New Roman"/>
        </w:rPr>
        <w:t>);</w:t>
      </w:r>
    </w:p>
    <w:p w14:paraId="18FF7B17" w14:textId="5C37D706" w:rsidR="008312AA" w:rsidRDefault="00000000">
      <w:pPr>
        <w:pStyle w:val="Loendilik"/>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rPr>
        <w:t>kaluritel puuduvad rahalised vahendid omafinantseeringu tasumiseks</w:t>
      </w:r>
      <w:r w:rsidR="00B9108F">
        <w:rPr>
          <w:rFonts w:ascii="Times New Roman" w:eastAsia="Times New Roman" w:hAnsi="Times New Roman" w:cs="Times New Roman"/>
        </w:rPr>
        <w:t xml:space="preserve"> (strateegia punkt</w:t>
      </w:r>
      <w:r w:rsidR="00552EA7">
        <w:rPr>
          <w:rFonts w:ascii="Times New Roman" w:eastAsia="Times New Roman" w:hAnsi="Times New Roman" w:cs="Times New Roman"/>
        </w:rPr>
        <w:t xml:space="preserve">id 1.2.4, </w:t>
      </w:r>
      <w:r w:rsidR="004C4A73">
        <w:rPr>
          <w:rFonts w:ascii="Times New Roman" w:eastAsia="Times New Roman" w:hAnsi="Times New Roman" w:cs="Times New Roman"/>
        </w:rPr>
        <w:t xml:space="preserve"> 1.4</w:t>
      </w:r>
      <w:r w:rsidR="00B9108F">
        <w:rPr>
          <w:rFonts w:ascii="Times New Roman" w:eastAsia="Times New Roman" w:hAnsi="Times New Roman" w:cs="Times New Roman"/>
        </w:rPr>
        <w:t>);</w:t>
      </w:r>
    </w:p>
    <w:p w14:paraId="1C21EB50" w14:textId="597A9609" w:rsidR="008312AA" w:rsidRDefault="00000000">
      <w:pPr>
        <w:pStyle w:val="Loendilik"/>
        <w:numPr>
          <w:ilvl w:val="0"/>
          <w:numId w:val="2"/>
        </w:numPr>
        <w:spacing w:line="276" w:lineRule="auto"/>
        <w:rPr>
          <w:rFonts w:ascii="Times New Roman" w:eastAsia="Times New Roman" w:hAnsi="Times New Roman" w:cs="Times New Roman"/>
          <w:b/>
          <w:bCs/>
        </w:rPr>
      </w:pPr>
      <w:r>
        <w:rPr>
          <w:rFonts w:ascii="Times New Roman" w:eastAsia="Times New Roman" w:hAnsi="Times New Roman" w:cs="Times New Roman"/>
        </w:rPr>
        <w:lastRenderedPageBreak/>
        <w:t xml:space="preserve">kalurite ja Keskkonnaameti vahel toimub </w:t>
      </w:r>
      <w:r w:rsidR="00B9108F">
        <w:rPr>
          <w:rFonts w:ascii="Times New Roman" w:eastAsia="Times New Roman" w:hAnsi="Times New Roman" w:cs="Times New Roman"/>
        </w:rPr>
        <w:t xml:space="preserve">pigem </w:t>
      </w:r>
      <w:r>
        <w:rPr>
          <w:rFonts w:ascii="Times New Roman" w:eastAsia="Times New Roman" w:hAnsi="Times New Roman" w:cs="Times New Roman"/>
        </w:rPr>
        <w:t>vastandumine mitte koostöö</w:t>
      </w:r>
      <w:r w:rsidR="00B9108F">
        <w:rPr>
          <w:rFonts w:ascii="Times New Roman" w:eastAsia="Times New Roman" w:hAnsi="Times New Roman" w:cs="Times New Roman"/>
        </w:rPr>
        <w:t xml:space="preserve"> (strateegia punktid )</w:t>
      </w:r>
      <w:r>
        <w:rPr>
          <w:rFonts w:ascii="Times New Roman" w:eastAsia="Times New Roman" w:hAnsi="Times New Roman" w:cs="Times New Roman"/>
        </w:rPr>
        <w:t>.</w:t>
      </w:r>
    </w:p>
    <w:p w14:paraId="14F50050" w14:textId="77777777" w:rsidR="008312AA" w:rsidRDefault="008312AA">
      <w:pPr>
        <w:spacing w:line="276" w:lineRule="auto"/>
        <w:rPr>
          <w:rFonts w:ascii="Times New Roman" w:eastAsia="Times New Roman" w:hAnsi="Times New Roman" w:cs="Times New Roman"/>
          <w:b/>
          <w:bCs/>
        </w:rPr>
      </w:pPr>
    </w:p>
    <w:tbl>
      <w:tblPr>
        <w:tblStyle w:val="Kontuurtabel"/>
        <w:tblW w:w="9039" w:type="dxa"/>
        <w:tblLayout w:type="fixed"/>
        <w:tblLook w:val="04A0" w:firstRow="1" w:lastRow="0" w:firstColumn="1" w:lastColumn="0" w:noHBand="0" w:noVBand="1"/>
      </w:tblPr>
      <w:tblGrid>
        <w:gridCol w:w="9039"/>
      </w:tblGrid>
      <w:tr w:rsidR="008312AA" w14:paraId="7631264A" w14:textId="77777777">
        <w:tc>
          <w:tcPr>
            <w:tcW w:w="9039" w:type="dxa"/>
            <w:shd w:val="clear" w:color="auto" w:fill="C2F2F8"/>
          </w:tcPr>
          <w:p w14:paraId="1619C898"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Võimalused</w:t>
            </w:r>
          </w:p>
        </w:tc>
      </w:tr>
    </w:tbl>
    <w:p w14:paraId="51C33FEE" w14:textId="30C31E7F" w:rsidR="009D295A" w:rsidRDefault="009D295A">
      <w:pPr>
        <w:pStyle w:val="Loendilik"/>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EMKVF ja teiste E</w:t>
      </w:r>
      <w:r w:rsidR="00C41C62">
        <w:rPr>
          <w:rFonts w:ascii="Times New Roman" w:eastAsia="Times New Roman" w:hAnsi="Times New Roman" w:cs="Times New Roman"/>
        </w:rPr>
        <w:t xml:space="preserve">uroopa </w:t>
      </w:r>
      <w:r>
        <w:rPr>
          <w:rFonts w:ascii="Times New Roman" w:eastAsia="Times New Roman" w:hAnsi="Times New Roman" w:cs="Times New Roman"/>
        </w:rPr>
        <w:t>L</w:t>
      </w:r>
      <w:r w:rsidR="00C41C62">
        <w:rPr>
          <w:rFonts w:ascii="Times New Roman" w:eastAsia="Times New Roman" w:hAnsi="Times New Roman" w:cs="Times New Roman"/>
        </w:rPr>
        <w:t>iidu</w:t>
      </w:r>
      <w:r>
        <w:rPr>
          <w:rFonts w:ascii="Times New Roman" w:eastAsia="Times New Roman" w:hAnsi="Times New Roman" w:cs="Times New Roman"/>
        </w:rPr>
        <w:t xml:space="preserve"> toetuste maksimaalne ärakasutamine (strateegia punktid 4.1-4.6)</w:t>
      </w:r>
    </w:p>
    <w:p w14:paraId="5696D221" w14:textId="01E88F04" w:rsidR="008312AA" w:rsidRDefault="00000000">
      <w:pPr>
        <w:pStyle w:val="Loendilik"/>
        <w:numPr>
          <w:ilvl w:val="0"/>
          <w:numId w:val="6"/>
        </w:numPr>
        <w:spacing w:line="276" w:lineRule="auto"/>
        <w:rPr>
          <w:rFonts w:ascii="Times New Roman" w:eastAsia="Times New Roman" w:hAnsi="Times New Roman" w:cs="Times New Roman"/>
        </w:rPr>
      </w:pPr>
      <w:r>
        <w:rPr>
          <w:rFonts w:ascii="Times New Roman" w:eastAsia="Times New Roman" w:hAnsi="Times New Roman" w:cs="Times New Roman"/>
        </w:rPr>
        <w:t>kohaliku kala ja sellest valmistatud toodete populaarsus kasvab</w:t>
      </w:r>
      <w:r w:rsidR="00B9108F">
        <w:rPr>
          <w:rFonts w:ascii="Times New Roman" w:eastAsia="Times New Roman" w:hAnsi="Times New Roman" w:cs="Times New Roman"/>
        </w:rPr>
        <w:t xml:space="preserve"> (strateegia punktid</w:t>
      </w:r>
      <w:r w:rsidR="003D09AF">
        <w:rPr>
          <w:rFonts w:ascii="Times New Roman" w:eastAsia="Times New Roman" w:hAnsi="Times New Roman" w:cs="Times New Roman"/>
        </w:rPr>
        <w:t xml:space="preserve"> </w:t>
      </w:r>
      <w:r w:rsidR="00552EA7">
        <w:rPr>
          <w:rFonts w:ascii="Times New Roman" w:eastAsia="Times New Roman" w:hAnsi="Times New Roman" w:cs="Times New Roman"/>
        </w:rPr>
        <w:t>1.8, 1.9</w:t>
      </w:r>
      <w:r w:rsidR="00B9108F">
        <w:rPr>
          <w:rFonts w:ascii="Times New Roman" w:eastAsia="Times New Roman" w:hAnsi="Times New Roman" w:cs="Times New Roman"/>
        </w:rPr>
        <w:t>);</w:t>
      </w:r>
    </w:p>
    <w:p w14:paraId="73080F88" w14:textId="0A32F793" w:rsidR="008312AA" w:rsidRDefault="00000000">
      <w:pPr>
        <w:pStyle w:val="Loendilik"/>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t>kalavarud suurenevad, sh reguleeritakse riiklikult hüljeste ja kormoranide arvukust, rannikumere keskkonnaseisund paraneb</w:t>
      </w:r>
      <w:r w:rsidR="00B9108F">
        <w:rPr>
          <w:rFonts w:ascii="Times New Roman" w:eastAsia="Times New Roman" w:hAnsi="Times New Roman" w:cs="Times New Roman"/>
        </w:rPr>
        <w:t xml:space="preserve"> (strateegia punkt</w:t>
      </w:r>
      <w:r w:rsidR="00552EA7">
        <w:rPr>
          <w:rFonts w:ascii="Times New Roman" w:eastAsia="Times New Roman" w:hAnsi="Times New Roman" w:cs="Times New Roman"/>
        </w:rPr>
        <w:t xml:space="preserve"> 1.3</w:t>
      </w:r>
      <w:r w:rsidR="00B9108F">
        <w:rPr>
          <w:rFonts w:ascii="Times New Roman" w:eastAsia="Times New Roman" w:hAnsi="Times New Roman" w:cs="Times New Roman"/>
        </w:rPr>
        <w:t>);</w:t>
      </w:r>
    </w:p>
    <w:p w14:paraId="1748C28E" w14:textId="7AE9AD5D" w:rsidR="008312AA" w:rsidRDefault="009D295A">
      <w:pPr>
        <w:pStyle w:val="Loendilik"/>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kalurite teadmised ja oskused paranevad </w:t>
      </w:r>
      <w:r w:rsidR="00B9108F">
        <w:rPr>
          <w:rFonts w:ascii="Times New Roman" w:eastAsia="Times New Roman" w:hAnsi="Times New Roman" w:cs="Times New Roman"/>
        </w:rPr>
        <w:t xml:space="preserve"> (strateegia punkt</w:t>
      </w:r>
      <w:r>
        <w:rPr>
          <w:rFonts w:ascii="Times New Roman" w:eastAsia="Times New Roman" w:hAnsi="Times New Roman" w:cs="Times New Roman"/>
        </w:rPr>
        <w:t>id 1.4.1, 4.6</w:t>
      </w:r>
      <w:r w:rsidR="00B9108F">
        <w:rPr>
          <w:rFonts w:ascii="Times New Roman" w:eastAsia="Times New Roman" w:hAnsi="Times New Roman" w:cs="Times New Roman"/>
        </w:rPr>
        <w:t>);</w:t>
      </w:r>
    </w:p>
    <w:p w14:paraId="0F5BE1FC" w14:textId="7DD76BA6" w:rsidR="00E13414" w:rsidRDefault="00E13414" w:rsidP="00E13414">
      <w:pPr>
        <w:pStyle w:val="Loendilik"/>
        <w:numPr>
          <w:ilvl w:val="0"/>
          <w:numId w:val="3"/>
        </w:numPr>
        <w:spacing w:line="276" w:lineRule="auto"/>
        <w:rPr>
          <w:rFonts w:ascii="Times New Roman" w:eastAsia="Times New Roman" w:hAnsi="Times New Roman" w:cs="Times New Roman"/>
        </w:rPr>
      </w:pPr>
      <w:r>
        <w:rPr>
          <w:rFonts w:ascii="Times New Roman" w:eastAsia="Times New Roman" w:hAnsi="Times New Roman" w:cs="Times New Roman"/>
        </w:rPr>
        <w:t>hoogustub sadama-, ranniku- ja mereturism, mis suurendab piirkonda külastavate inimeste hulka (strateegia punkt</w:t>
      </w:r>
      <w:r w:rsidR="00F540EA">
        <w:rPr>
          <w:rFonts w:ascii="Times New Roman" w:eastAsia="Times New Roman" w:hAnsi="Times New Roman" w:cs="Times New Roman"/>
        </w:rPr>
        <w:t>id</w:t>
      </w:r>
      <w:r>
        <w:rPr>
          <w:rFonts w:ascii="Times New Roman" w:eastAsia="Times New Roman" w:hAnsi="Times New Roman" w:cs="Times New Roman"/>
        </w:rPr>
        <w:t xml:space="preserve"> </w:t>
      </w:r>
      <w:r w:rsidR="00F540EA">
        <w:rPr>
          <w:rFonts w:ascii="Times New Roman" w:eastAsia="Times New Roman" w:hAnsi="Times New Roman" w:cs="Times New Roman"/>
        </w:rPr>
        <w:t>1.4, 4.5)</w:t>
      </w:r>
      <w:r>
        <w:rPr>
          <w:rFonts w:ascii="Times New Roman" w:eastAsia="Times New Roman" w:hAnsi="Times New Roman" w:cs="Times New Roman"/>
        </w:rPr>
        <w:t>;</w:t>
      </w:r>
    </w:p>
    <w:p w14:paraId="3C5D1F41" w14:textId="77777777" w:rsidR="00E13414" w:rsidRDefault="00E13414" w:rsidP="00E13414">
      <w:pPr>
        <w:pStyle w:val="Loendilik"/>
        <w:spacing w:line="276" w:lineRule="auto"/>
        <w:rPr>
          <w:rFonts w:ascii="Times New Roman" w:eastAsia="Times New Roman" w:hAnsi="Times New Roman" w:cs="Times New Roman"/>
        </w:rPr>
      </w:pPr>
    </w:p>
    <w:p w14:paraId="3F1AB773" w14:textId="77777777" w:rsidR="008312AA" w:rsidRDefault="008312AA">
      <w:pPr>
        <w:pStyle w:val="Loendilik"/>
        <w:spacing w:line="276" w:lineRule="auto"/>
        <w:rPr>
          <w:rFonts w:ascii="Times New Roman" w:eastAsia="Times New Roman" w:hAnsi="Times New Roman" w:cs="Times New Roman"/>
          <w:b/>
          <w:bCs/>
        </w:rPr>
      </w:pPr>
    </w:p>
    <w:tbl>
      <w:tblPr>
        <w:tblStyle w:val="Kontuurtabel"/>
        <w:tblW w:w="9039" w:type="dxa"/>
        <w:tblLayout w:type="fixed"/>
        <w:tblLook w:val="04A0" w:firstRow="1" w:lastRow="0" w:firstColumn="1" w:lastColumn="0" w:noHBand="0" w:noVBand="1"/>
      </w:tblPr>
      <w:tblGrid>
        <w:gridCol w:w="9039"/>
      </w:tblGrid>
      <w:tr w:rsidR="008312AA" w14:paraId="3B028689" w14:textId="77777777">
        <w:tc>
          <w:tcPr>
            <w:tcW w:w="9039" w:type="dxa"/>
            <w:shd w:val="clear" w:color="auto" w:fill="C2F2F8"/>
          </w:tcPr>
          <w:p w14:paraId="7EFC958F" w14:textId="77777777" w:rsidR="008312AA" w:rsidRDefault="00000000">
            <w:pPr>
              <w:spacing w:before="120" w:line="276" w:lineRule="auto"/>
              <w:ind w:left="360"/>
              <w:rPr>
                <w:rFonts w:ascii="Times New Roman" w:eastAsia="Times New Roman" w:hAnsi="Times New Roman" w:cs="Times New Roman"/>
                <w:b/>
                <w:bCs/>
              </w:rPr>
            </w:pPr>
            <w:r>
              <w:rPr>
                <w:rFonts w:ascii="Times New Roman" w:eastAsia="Times New Roman" w:hAnsi="Times New Roman" w:cs="Times New Roman"/>
                <w:b/>
                <w:bCs/>
              </w:rPr>
              <w:t>Ohud</w:t>
            </w:r>
          </w:p>
        </w:tc>
      </w:tr>
    </w:tbl>
    <w:p w14:paraId="6AF00BB6" w14:textId="75CA2E53" w:rsidR="008312AA" w:rsidRDefault="00000000">
      <w:pPr>
        <w:pStyle w:val="Loendilik"/>
        <w:numPr>
          <w:ilvl w:val="0"/>
          <w:numId w:val="7"/>
        </w:numPr>
        <w:spacing w:line="276" w:lineRule="auto"/>
        <w:rPr>
          <w:rFonts w:ascii="Times New Roman" w:eastAsia="Times New Roman" w:hAnsi="Times New Roman" w:cs="Times New Roman"/>
        </w:rPr>
      </w:pPr>
      <w:r>
        <w:rPr>
          <w:rFonts w:ascii="Times New Roman" w:eastAsia="Times New Roman" w:hAnsi="Times New Roman" w:cs="Times New Roman"/>
        </w:rPr>
        <w:t>kalavarud vähenevad olulisel määral, merekeskkonna seisund halveneb</w:t>
      </w:r>
      <w:r w:rsidR="001A62D2">
        <w:rPr>
          <w:rFonts w:ascii="Times New Roman" w:eastAsia="Times New Roman" w:hAnsi="Times New Roman" w:cs="Times New Roman"/>
        </w:rPr>
        <w:t xml:space="preserve"> (strateegia punkt</w:t>
      </w:r>
      <w:r w:rsidR="003D09AF">
        <w:rPr>
          <w:rFonts w:ascii="Times New Roman" w:eastAsia="Times New Roman" w:hAnsi="Times New Roman" w:cs="Times New Roman"/>
        </w:rPr>
        <w:t>id 1.1.6, 1.3</w:t>
      </w:r>
      <w:r w:rsidR="001A62D2">
        <w:rPr>
          <w:rFonts w:ascii="Times New Roman" w:eastAsia="Times New Roman" w:hAnsi="Times New Roman" w:cs="Times New Roman"/>
        </w:rPr>
        <w:t>)</w:t>
      </w:r>
      <w:r>
        <w:rPr>
          <w:rFonts w:ascii="Times New Roman" w:eastAsia="Times New Roman" w:hAnsi="Times New Roman" w:cs="Times New Roman"/>
        </w:rPr>
        <w:t>;</w:t>
      </w:r>
    </w:p>
    <w:p w14:paraId="15FE2C12" w14:textId="282E61DF" w:rsidR="008312AA" w:rsidRDefault="00000000">
      <w:pPr>
        <w:pStyle w:val="Loendilik"/>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välis</w:t>
      </w:r>
      <w:proofErr w:type="spellEnd"/>
      <w:r>
        <w:rPr>
          <w:rFonts w:ascii="Times New Roman" w:eastAsia="Times New Roman" w:hAnsi="Times New Roman" w:cs="Times New Roman"/>
        </w:rPr>
        <w:t>)poliitiline ja majanduslik olukord on ebastabiilne (sanktsioonid ekspordile jms)</w:t>
      </w:r>
      <w:r w:rsidR="001A62D2">
        <w:rPr>
          <w:rFonts w:ascii="Times New Roman" w:eastAsia="Times New Roman" w:hAnsi="Times New Roman" w:cs="Times New Roman"/>
        </w:rPr>
        <w:t>, (strateegia punktid</w:t>
      </w:r>
      <w:r w:rsidR="003D09AF">
        <w:rPr>
          <w:rFonts w:ascii="Times New Roman" w:eastAsia="Times New Roman" w:hAnsi="Times New Roman" w:cs="Times New Roman"/>
        </w:rPr>
        <w:t xml:space="preserve"> 1.1.3</w:t>
      </w:r>
      <w:r w:rsidR="001A62D2">
        <w:rPr>
          <w:rFonts w:ascii="Times New Roman" w:eastAsia="Times New Roman" w:hAnsi="Times New Roman" w:cs="Times New Roman"/>
        </w:rPr>
        <w:t>);</w:t>
      </w:r>
    </w:p>
    <w:p w14:paraId="52ED7831" w14:textId="62CE7C3A" w:rsidR="008312AA" w:rsidRDefault="00000000">
      <w:pPr>
        <w:pStyle w:val="Loendilik"/>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suureneb välismaalt odavama kala import, nõudlus kohaliku kala järele väheneb</w:t>
      </w:r>
      <w:r w:rsidR="001A62D2">
        <w:rPr>
          <w:rFonts w:ascii="Times New Roman" w:eastAsia="Times New Roman" w:hAnsi="Times New Roman" w:cs="Times New Roman"/>
        </w:rPr>
        <w:t xml:space="preserve"> (strateegia punkt </w:t>
      </w:r>
      <w:r w:rsidR="003D09AF">
        <w:rPr>
          <w:rFonts w:ascii="Times New Roman" w:eastAsia="Times New Roman" w:hAnsi="Times New Roman" w:cs="Times New Roman"/>
        </w:rPr>
        <w:t>1.8</w:t>
      </w:r>
      <w:r w:rsidR="001A62D2">
        <w:rPr>
          <w:rFonts w:ascii="Times New Roman" w:eastAsia="Times New Roman" w:hAnsi="Times New Roman" w:cs="Times New Roman"/>
        </w:rPr>
        <w:t>);</w:t>
      </w:r>
    </w:p>
    <w:p w14:paraId="7B28DED7" w14:textId="05C081E7" w:rsidR="008312AA" w:rsidRDefault="00000000">
      <w:pPr>
        <w:pStyle w:val="Loendilik"/>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kliimamuutus muudab ebasoodsad ilmastikuolud sagedasemaks</w:t>
      </w:r>
      <w:r w:rsidR="001A62D2">
        <w:rPr>
          <w:rFonts w:ascii="Times New Roman" w:eastAsia="Times New Roman" w:hAnsi="Times New Roman" w:cs="Times New Roman"/>
        </w:rPr>
        <w:t xml:space="preserve"> (strateegia punkti</w:t>
      </w:r>
      <w:r w:rsidR="00433181">
        <w:rPr>
          <w:rFonts w:ascii="Times New Roman" w:eastAsia="Times New Roman" w:hAnsi="Times New Roman" w:cs="Times New Roman"/>
        </w:rPr>
        <w:t xml:space="preserve"> 1.4</w:t>
      </w:r>
      <w:r w:rsidR="001A62D2">
        <w:rPr>
          <w:rFonts w:ascii="Times New Roman" w:eastAsia="Times New Roman" w:hAnsi="Times New Roman" w:cs="Times New Roman"/>
        </w:rPr>
        <w:t>);</w:t>
      </w:r>
    </w:p>
    <w:p w14:paraId="69F9E5A6" w14:textId="15AC2D3E" w:rsidR="008312AA" w:rsidRDefault="00000000">
      <w:pPr>
        <w:pStyle w:val="Loendilik"/>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reeglid karmistuvad sh võimalik uus pandeemia ja bürokraatia võimendub</w:t>
      </w:r>
      <w:r w:rsidR="001A62D2">
        <w:rPr>
          <w:rFonts w:ascii="Times New Roman" w:eastAsia="Times New Roman" w:hAnsi="Times New Roman" w:cs="Times New Roman"/>
        </w:rPr>
        <w:t xml:space="preserve"> (strateegia punkt</w:t>
      </w:r>
      <w:r w:rsidR="00433181">
        <w:rPr>
          <w:rFonts w:ascii="Times New Roman" w:eastAsia="Times New Roman" w:hAnsi="Times New Roman" w:cs="Times New Roman"/>
        </w:rPr>
        <w:t xml:space="preserve"> </w:t>
      </w:r>
      <w:r w:rsidR="00057ECA">
        <w:rPr>
          <w:rFonts w:ascii="Times New Roman" w:eastAsia="Times New Roman" w:hAnsi="Times New Roman" w:cs="Times New Roman"/>
        </w:rPr>
        <w:t>1.4</w:t>
      </w:r>
      <w:r w:rsidR="001A62D2">
        <w:rPr>
          <w:rFonts w:ascii="Times New Roman" w:eastAsia="Times New Roman" w:hAnsi="Times New Roman" w:cs="Times New Roman"/>
        </w:rPr>
        <w:t>);</w:t>
      </w:r>
    </w:p>
    <w:p w14:paraId="32EC01C6" w14:textId="3E61028C" w:rsidR="008312AA" w:rsidRDefault="00000000">
      <w:pPr>
        <w:pStyle w:val="Loendilik"/>
        <w:numPr>
          <w:ilvl w:val="0"/>
          <w:numId w:val="4"/>
        </w:numPr>
        <w:spacing w:line="276" w:lineRule="auto"/>
        <w:rPr>
          <w:rFonts w:ascii="Times New Roman" w:eastAsia="Times New Roman" w:hAnsi="Times New Roman" w:cs="Times New Roman"/>
        </w:rPr>
      </w:pPr>
      <w:r>
        <w:rPr>
          <w:rFonts w:ascii="Times New Roman" w:eastAsia="Times New Roman" w:hAnsi="Times New Roman" w:cs="Times New Roman"/>
        </w:rPr>
        <w:t>meretuuleparkide rajamine võib kalavarudele mõjuda halvasti (uurimata on nende mõju rändele) ja tuua kaasa täiendavaid püügipiiranguid kalurkonnale</w:t>
      </w:r>
      <w:r w:rsidR="001A62D2">
        <w:rPr>
          <w:rFonts w:ascii="Times New Roman" w:eastAsia="Times New Roman" w:hAnsi="Times New Roman" w:cs="Times New Roman"/>
        </w:rPr>
        <w:t xml:space="preserve"> (strateegia punkt 1.1.5)</w:t>
      </w:r>
      <w:r w:rsidR="00D94AEB">
        <w:rPr>
          <w:rFonts w:ascii="Times New Roman" w:eastAsia="Times New Roman" w:hAnsi="Times New Roman" w:cs="Times New Roman"/>
        </w:rPr>
        <w:t>.</w:t>
      </w:r>
    </w:p>
    <w:p w14:paraId="3E5668E8" w14:textId="77777777" w:rsidR="008312AA" w:rsidRDefault="008312AA">
      <w:pPr>
        <w:spacing w:before="120" w:line="276" w:lineRule="auto"/>
        <w:rPr>
          <w:rFonts w:ascii="Times New Roman" w:eastAsia="Times New Roman" w:hAnsi="Times New Roman" w:cs="Times New Roman"/>
          <w:b/>
          <w:bCs/>
        </w:rPr>
      </w:pPr>
    </w:p>
    <w:p w14:paraId="14035890" w14:textId="77777777" w:rsidR="008312AA" w:rsidRDefault="00000000" w:rsidP="00541032">
      <w:pPr>
        <w:pStyle w:val="Pealkiri3"/>
        <w:spacing w:line="276" w:lineRule="auto"/>
        <w:ind w:left="0" w:firstLine="0"/>
        <w:jc w:val="left"/>
        <w:rPr>
          <w:rFonts w:ascii="Times New Roman" w:hAnsi="Times New Roman" w:cs="Times New Roman"/>
          <w:color w:val="002060"/>
        </w:rPr>
      </w:pPr>
      <w:bookmarkStart w:id="40" w:name="_Toc157420951"/>
      <w:r>
        <w:rPr>
          <w:rFonts w:ascii="Times New Roman" w:hAnsi="Times New Roman" w:cs="Times New Roman"/>
          <w:color w:val="002060"/>
        </w:rPr>
        <w:t>2.2.2. TOWS analüüs</w:t>
      </w:r>
      <w:bookmarkEnd w:id="40"/>
    </w:p>
    <w:p w14:paraId="5F693C57" w14:textId="77777777" w:rsidR="008312AA" w:rsidRDefault="00000000">
      <w:pPr>
        <w:spacing w:before="120" w:line="276" w:lineRule="auto"/>
        <w:rPr>
          <w:rFonts w:ascii="Times New Roman" w:eastAsia="Times New Roman" w:hAnsi="Times New Roman" w:cs="Times New Roman"/>
          <w:iCs/>
        </w:rPr>
      </w:pPr>
      <w:r>
        <w:rPr>
          <w:rFonts w:ascii="Times New Roman" w:eastAsia="Times New Roman" w:hAnsi="Times New Roman" w:cs="Times New Roman"/>
          <w:iCs/>
        </w:rPr>
        <w:t>SWOT analüüsis väljatoodu alusel on koostatud Saaremaa kalanduspiirkonna TOWS analüüs,  milles tuuakse välja piirkonna kalandus- ja merendusvaldkonna peamised strateegilised arenguvajadused kombineerides erinevaid SWOT analüüsi tegureid.</w:t>
      </w:r>
    </w:p>
    <w:p w14:paraId="633CC000" w14:textId="77777777" w:rsidR="008312AA" w:rsidRDefault="008312AA">
      <w:pPr>
        <w:spacing w:before="120" w:line="276" w:lineRule="auto"/>
        <w:rPr>
          <w:rFonts w:ascii="Times New Roman" w:eastAsia="Times New Roman" w:hAnsi="Times New Roman" w:cs="Times New Roman"/>
          <w:iCs/>
        </w:rPr>
      </w:pPr>
    </w:p>
    <w:tbl>
      <w:tblPr>
        <w:tblStyle w:val="Kontuurtabel"/>
        <w:tblW w:w="9039" w:type="dxa"/>
        <w:tblLayout w:type="fixed"/>
        <w:tblLook w:val="04A0" w:firstRow="1" w:lastRow="0" w:firstColumn="1" w:lastColumn="0" w:noHBand="0" w:noVBand="1"/>
      </w:tblPr>
      <w:tblGrid>
        <w:gridCol w:w="9039"/>
      </w:tblGrid>
      <w:tr w:rsidR="008312AA" w14:paraId="60D8E137" w14:textId="77777777">
        <w:tc>
          <w:tcPr>
            <w:tcW w:w="9039" w:type="dxa"/>
            <w:shd w:val="clear" w:color="auto" w:fill="C2F2F8"/>
          </w:tcPr>
          <w:p w14:paraId="2C9EBD82" w14:textId="77777777" w:rsidR="008312AA" w:rsidRDefault="00000000">
            <w:pPr>
              <w:spacing w:before="120" w:line="276" w:lineRule="auto"/>
              <w:rPr>
                <w:rFonts w:ascii="Times New Roman" w:eastAsia="Times New Roman" w:hAnsi="Times New Roman" w:cs="Times New Roman"/>
                <w:b/>
                <w:bCs/>
                <w:iCs/>
              </w:rPr>
            </w:pPr>
            <w:r>
              <w:rPr>
                <w:rFonts w:ascii="Times New Roman" w:eastAsia="Times New Roman" w:hAnsi="Times New Roman" w:cs="Times New Roman"/>
                <w:b/>
                <w:bCs/>
                <w:iCs/>
              </w:rPr>
              <w:t>Tugevuste ja võimaluste kombinatsioon</w:t>
            </w:r>
          </w:p>
        </w:tc>
      </w:tr>
    </w:tbl>
    <w:p w14:paraId="7B44F5A3" w14:textId="40AA318E" w:rsidR="008312AA"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Tugevuste ja võimaluste kombinatsioonidest kerkib enim esile piirkonna positiivne kuvand, mis aitab kaasa ranniku- ja mereturismi arendamisele ning loob sellega võimalused kaluritele lisasissetulekute saamiseks. Samuti annab see kombinatsioon tegevusrühmale võimaluse kaasa </w:t>
      </w:r>
      <w:r>
        <w:rPr>
          <w:rFonts w:ascii="Times New Roman" w:eastAsia="Times New Roman" w:hAnsi="Times New Roman" w:cs="Times New Roman"/>
        </w:rPr>
        <w:lastRenderedPageBreak/>
        <w:t xml:space="preserve">rääkida hüljeste ja kormoranide ohjamise teemadel. Nõudlus kohalikust kalast valmistatud toodete järele peaks looma hea pinnase sellele, et kalurid panustaksid rohkem enda püütud kala </w:t>
      </w:r>
      <w:proofErr w:type="spellStart"/>
      <w:r>
        <w:rPr>
          <w:rFonts w:ascii="Times New Roman" w:eastAsia="Times New Roman" w:hAnsi="Times New Roman" w:cs="Times New Roman"/>
        </w:rPr>
        <w:t>väärindamise</w:t>
      </w:r>
      <w:r w:rsidR="000114B4">
        <w:rPr>
          <w:rFonts w:ascii="Times New Roman" w:eastAsia="Times New Roman" w:hAnsi="Times New Roman" w:cs="Times New Roman"/>
        </w:rPr>
        <w:t>le</w:t>
      </w:r>
      <w:proofErr w:type="spellEnd"/>
      <w:r w:rsidR="000114B4">
        <w:rPr>
          <w:rFonts w:ascii="Times New Roman" w:eastAsia="Times New Roman" w:hAnsi="Times New Roman" w:cs="Times New Roman"/>
        </w:rPr>
        <w:t>.</w:t>
      </w:r>
    </w:p>
    <w:p w14:paraId="1F905552" w14:textId="77777777" w:rsidR="008312AA" w:rsidRDefault="008312AA">
      <w:pPr>
        <w:spacing w:before="240" w:after="0"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6A70AC83" w14:textId="77777777">
        <w:tc>
          <w:tcPr>
            <w:tcW w:w="9062" w:type="dxa"/>
            <w:shd w:val="clear" w:color="auto" w:fill="FFCCCC"/>
          </w:tcPr>
          <w:p w14:paraId="7F25DBDD" w14:textId="77777777" w:rsidR="008312AA" w:rsidRDefault="00000000">
            <w:pPr>
              <w:spacing w:before="120" w:line="276" w:lineRule="auto"/>
              <w:rPr>
                <w:rFonts w:ascii="Times New Roman" w:eastAsia="Times New Roman" w:hAnsi="Times New Roman" w:cs="Times New Roman"/>
                <w:iCs/>
              </w:rPr>
            </w:pPr>
            <w:r>
              <w:rPr>
                <w:rFonts w:ascii="Times New Roman" w:eastAsia="Times New Roman" w:hAnsi="Times New Roman" w:cs="Times New Roman"/>
                <w:b/>
              </w:rPr>
              <w:t>Prioriteedid:</w:t>
            </w:r>
            <w:r>
              <w:rPr>
                <w:rFonts w:ascii="Times New Roman" w:eastAsia="Times New Roman" w:hAnsi="Times New Roman" w:cs="Times New Roman"/>
              </w:rPr>
              <w:t xml:space="preserve"> kalurkonna teadmiste ja oskuste edendamine s.h. tegevuste mitmekesistamise,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ja otseturustamise valdkonnas, kalavarude </w:t>
            </w:r>
            <w:proofErr w:type="spellStart"/>
            <w:r>
              <w:rPr>
                <w:rFonts w:ascii="Times New Roman" w:eastAsia="Times New Roman" w:hAnsi="Times New Roman" w:cs="Times New Roman"/>
              </w:rPr>
              <w:t>jätkusuutlikuse</w:t>
            </w:r>
            <w:proofErr w:type="spellEnd"/>
            <w:r>
              <w:rPr>
                <w:rFonts w:ascii="Times New Roman" w:eastAsia="Times New Roman" w:hAnsi="Times New Roman" w:cs="Times New Roman"/>
              </w:rPr>
              <w:t xml:space="preserve"> tagamisele kaasaaitamine.</w:t>
            </w:r>
          </w:p>
        </w:tc>
      </w:tr>
    </w:tbl>
    <w:p w14:paraId="7F9707E9" w14:textId="77777777" w:rsidR="008312AA" w:rsidRDefault="008312AA">
      <w:pPr>
        <w:spacing w:before="120" w:line="276" w:lineRule="auto"/>
        <w:rPr>
          <w:rFonts w:ascii="Times New Roman" w:eastAsia="Times New Roman" w:hAnsi="Times New Roman" w:cs="Times New Roman"/>
          <w:iCs/>
        </w:rPr>
      </w:pPr>
    </w:p>
    <w:tbl>
      <w:tblPr>
        <w:tblStyle w:val="Kontuurtabel"/>
        <w:tblW w:w="9039" w:type="dxa"/>
        <w:jc w:val="center"/>
        <w:tblLayout w:type="fixed"/>
        <w:tblLook w:val="04A0" w:firstRow="1" w:lastRow="0" w:firstColumn="1" w:lastColumn="0" w:noHBand="0" w:noVBand="1"/>
      </w:tblPr>
      <w:tblGrid>
        <w:gridCol w:w="9039"/>
      </w:tblGrid>
      <w:tr w:rsidR="008312AA" w14:paraId="7D9E0855" w14:textId="77777777">
        <w:trPr>
          <w:jc w:val="center"/>
        </w:trPr>
        <w:tc>
          <w:tcPr>
            <w:tcW w:w="9039" w:type="dxa"/>
            <w:shd w:val="clear" w:color="auto" w:fill="C2F2F8"/>
          </w:tcPr>
          <w:p w14:paraId="60176C2E" w14:textId="77777777" w:rsidR="008312AA" w:rsidRDefault="00000000">
            <w:pPr>
              <w:spacing w:before="120" w:line="276" w:lineRule="auto"/>
              <w:rPr>
                <w:rFonts w:ascii="Times New Roman" w:eastAsia="Times New Roman" w:hAnsi="Times New Roman" w:cs="Times New Roman"/>
                <w:b/>
                <w:bCs/>
                <w:iCs/>
              </w:rPr>
            </w:pPr>
            <w:r>
              <w:rPr>
                <w:rFonts w:ascii="Times New Roman" w:eastAsia="Times New Roman" w:hAnsi="Times New Roman" w:cs="Times New Roman"/>
                <w:b/>
                <w:bCs/>
                <w:iCs/>
              </w:rPr>
              <w:t>Tugevuste ja ohtude kombinatsioon</w:t>
            </w:r>
          </w:p>
        </w:tc>
      </w:tr>
    </w:tbl>
    <w:p w14:paraId="32B2AD1A" w14:textId="77777777" w:rsidR="008312AA"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Tugevuste ja ohtude kombinatsioonidest kerkib enim esile see, et odava imporditud kala osakaalu suurenedes võib väheneda nõudlus kohaliku kala ja sellest valmistatud kalatoodete järele. Kalavarude jätkuval vähenemisel  ja ebasoodsate ilmastikuolude, mis takistavad merele minekut, sagenemisel kaotab kalurkond püügist saadava tulu (tegus kalurkond on olemas aga kala ei ole/ ei saa püügile minna). Kui vähenevad EL toetused ei suuda niigi väheste sissetulekutega rannakalurid oma tegevusi mitmekesistada. Valdkonda reguleerivate reeglistike karmistumise ja liigse bürokraatia tõttu võivad kalurid oma tegevuse lõpetada, mis oleks ohuks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traditsioonide säilimisele piirkonnas.</w:t>
      </w:r>
    </w:p>
    <w:p w14:paraId="0BA77A9E" w14:textId="77777777" w:rsidR="008312AA" w:rsidRDefault="008312AA">
      <w:pPr>
        <w:spacing w:before="240" w:after="0"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2E64367D" w14:textId="77777777">
        <w:tc>
          <w:tcPr>
            <w:tcW w:w="9062" w:type="dxa"/>
            <w:shd w:val="clear" w:color="auto" w:fill="FFCCCC"/>
          </w:tcPr>
          <w:p w14:paraId="3317AD68" w14:textId="77777777" w:rsidR="008312AA" w:rsidRDefault="00000000">
            <w:pPr>
              <w:spacing w:before="120" w:line="276" w:lineRule="auto"/>
              <w:rPr>
                <w:rFonts w:ascii="Times New Roman" w:eastAsia="Times New Roman" w:hAnsi="Times New Roman" w:cs="Times New Roman"/>
              </w:rPr>
            </w:pPr>
            <w:r>
              <w:rPr>
                <w:rFonts w:ascii="Times New Roman" w:eastAsia="Times New Roman" w:hAnsi="Times New Roman" w:cs="Times New Roman"/>
                <w:b/>
              </w:rPr>
              <w:t xml:space="preserve">Prioriteedid: </w:t>
            </w:r>
            <w:r>
              <w:rPr>
                <w:rFonts w:ascii="Times New Roman" w:eastAsia="Times New Roman" w:hAnsi="Times New Roman" w:cs="Times New Roman"/>
              </w:rPr>
              <w:t xml:space="preserve">kohaliku kala ja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traditsioonide populariseerimine s.h. kogukonna ühtekuuluvustunnet suurendavate tegevuste toetamine, kaasarääkimine valdkonda reguleerivate õigusaktide koostamisel.</w:t>
            </w:r>
          </w:p>
        </w:tc>
      </w:tr>
    </w:tbl>
    <w:p w14:paraId="558B2CBB" w14:textId="77777777" w:rsidR="008312AA" w:rsidRDefault="008312AA">
      <w:pPr>
        <w:spacing w:after="160" w:line="259" w:lineRule="auto"/>
        <w:rPr>
          <w:rFonts w:ascii="Times New Roman" w:eastAsia="Times New Roman" w:hAnsi="Times New Roman" w:cs="Times New Roman"/>
          <w:iCs/>
        </w:rPr>
      </w:pPr>
    </w:p>
    <w:tbl>
      <w:tblPr>
        <w:tblStyle w:val="Kontuurtabel"/>
        <w:tblW w:w="9039" w:type="dxa"/>
        <w:tblLayout w:type="fixed"/>
        <w:tblLook w:val="04A0" w:firstRow="1" w:lastRow="0" w:firstColumn="1" w:lastColumn="0" w:noHBand="0" w:noVBand="1"/>
      </w:tblPr>
      <w:tblGrid>
        <w:gridCol w:w="9039"/>
      </w:tblGrid>
      <w:tr w:rsidR="008312AA" w14:paraId="47C80DA3" w14:textId="77777777">
        <w:tc>
          <w:tcPr>
            <w:tcW w:w="9039" w:type="dxa"/>
            <w:shd w:val="clear" w:color="auto" w:fill="C2F2F8"/>
          </w:tcPr>
          <w:p w14:paraId="573FDB2C" w14:textId="77777777" w:rsidR="008312AA" w:rsidRDefault="00000000">
            <w:pPr>
              <w:spacing w:before="120" w:line="276" w:lineRule="auto"/>
              <w:rPr>
                <w:rFonts w:ascii="Times New Roman" w:eastAsia="Times New Roman" w:hAnsi="Times New Roman" w:cs="Times New Roman"/>
                <w:b/>
                <w:bCs/>
                <w:iCs/>
              </w:rPr>
            </w:pPr>
            <w:r>
              <w:rPr>
                <w:rFonts w:ascii="Times New Roman" w:eastAsia="Times New Roman" w:hAnsi="Times New Roman" w:cs="Times New Roman"/>
                <w:b/>
                <w:bCs/>
                <w:iCs/>
              </w:rPr>
              <w:t>Nõrkuste ja võimaluste kombinatsioon</w:t>
            </w:r>
          </w:p>
        </w:tc>
      </w:tr>
    </w:tbl>
    <w:p w14:paraId="60BFFA35" w14:textId="77777777" w:rsidR="008312AA"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Nõrkuste ja võimaluste  kombinatsioonidest väärivad enim tähelepanu vajadus toetada selliseid tegevusi, mis aitaksid mitmekesistada kalurite tegevusi, et ka püügivälisel perioodil oleks tagatud sissetulekud. Kui nõudlus kohalike kalatoodete järele piirkonnas suureneb  peavad kalurid hakkama rohkem tähelepanu pöörama enda püütud kala </w:t>
      </w:r>
      <w:proofErr w:type="spellStart"/>
      <w:r>
        <w:rPr>
          <w:rFonts w:ascii="Times New Roman" w:eastAsia="Times New Roman" w:hAnsi="Times New Roman" w:cs="Times New Roman"/>
        </w:rPr>
        <w:t>väärindamisele</w:t>
      </w:r>
      <w:proofErr w:type="spellEnd"/>
      <w:r>
        <w:rPr>
          <w:rFonts w:ascii="Times New Roman" w:eastAsia="Times New Roman" w:hAnsi="Times New Roman" w:cs="Times New Roman"/>
        </w:rPr>
        <w:t xml:space="preserve"> ehk kombinatsioon peaks looma võimaluse kalurite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turustamise ja müügioskuste parendamisele.  Piirkonna kalavarude suurendamisele aitab kaasa kui riiklikul tasandil hakatakse tõsiselt tegelema hüljeste ja kormoranide ohjamise meetmete väljatöötamisega.</w:t>
      </w:r>
    </w:p>
    <w:p w14:paraId="3FEEB4D8" w14:textId="77777777" w:rsidR="008312AA" w:rsidRDefault="008312AA">
      <w:pPr>
        <w:spacing w:before="240" w:after="0"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6C41BC0E" w14:textId="77777777">
        <w:tc>
          <w:tcPr>
            <w:tcW w:w="9062" w:type="dxa"/>
            <w:shd w:val="clear" w:color="auto" w:fill="FFCCCC"/>
          </w:tcPr>
          <w:p w14:paraId="439CAA65" w14:textId="77777777" w:rsidR="008312AA" w:rsidRDefault="00000000">
            <w:pPr>
              <w:spacing w:before="120" w:line="276" w:lineRule="auto"/>
              <w:rPr>
                <w:rFonts w:ascii="Times New Roman" w:eastAsia="Times New Roman" w:hAnsi="Times New Roman" w:cs="Times New Roman"/>
              </w:rPr>
            </w:pPr>
            <w:r>
              <w:rPr>
                <w:rFonts w:ascii="Times New Roman" w:eastAsia="Times New Roman" w:hAnsi="Times New Roman" w:cs="Times New Roman"/>
                <w:b/>
              </w:rPr>
              <w:t>Prioriteedid:</w:t>
            </w:r>
            <w:r>
              <w:rPr>
                <w:rFonts w:ascii="Times New Roman" w:eastAsia="Times New Roman" w:hAnsi="Times New Roman" w:cs="Times New Roman"/>
              </w:rPr>
              <w:t xml:space="preserve"> mitmekesistamise ja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toetamine, hüljeste ja kormoranide arvukuse ohjamine.</w:t>
            </w:r>
          </w:p>
        </w:tc>
      </w:tr>
    </w:tbl>
    <w:p w14:paraId="30D85D59" w14:textId="77777777" w:rsidR="008312AA" w:rsidRDefault="008312AA">
      <w:pPr>
        <w:spacing w:before="120" w:line="276" w:lineRule="auto"/>
        <w:rPr>
          <w:rFonts w:ascii="Times New Roman" w:eastAsia="Times New Roman" w:hAnsi="Times New Roman" w:cs="Times New Roman"/>
          <w:iCs/>
        </w:rPr>
      </w:pPr>
    </w:p>
    <w:tbl>
      <w:tblPr>
        <w:tblStyle w:val="Kontuurtabel"/>
        <w:tblW w:w="9039" w:type="dxa"/>
        <w:tblLayout w:type="fixed"/>
        <w:tblLook w:val="04A0" w:firstRow="1" w:lastRow="0" w:firstColumn="1" w:lastColumn="0" w:noHBand="0" w:noVBand="1"/>
      </w:tblPr>
      <w:tblGrid>
        <w:gridCol w:w="9039"/>
      </w:tblGrid>
      <w:tr w:rsidR="008312AA" w14:paraId="4D94BD6F" w14:textId="77777777">
        <w:tc>
          <w:tcPr>
            <w:tcW w:w="9039" w:type="dxa"/>
            <w:shd w:val="clear" w:color="auto" w:fill="C2F2F8"/>
          </w:tcPr>
          <w:p w14:paraId="7781E756" w14:textId="77777777" w:rsidR="008312AA" w:rsidRDefault="00000000">
            <w:pPr>
              <w:spacing w:before="120" w:line="276" w:lineRule="auto"/>
              <w:rPr>
                <w:rFonts w:ascii="Times New Roman" w:eastAsia="Times New Roman" w:hAnsi="Times New Roman" w:cs="Times New Roman"/>
                <w:b/>
                <w:bCs/>
                <w:iCs/>
              </w:rPr>
            </w:pPr>
            <w:r>
              <w:rPr>
                <w:rFonts w:ascii="Times New Roman" w:eastAsia="Times New Roman" w:hAnsi="Times New Roman" w:cs="Times New Roman"/>
                <w:b/>
                <w:bCs/>
                <w:iCs/>
              </w:rPr>
              <w:lastRenderedPageBreak/>
              <w:t>Nõrkuste ja ohtude kombinatsioon</w:t>
            </w:r>
          </w:p>
        </w:tc>
      </w:tr>
    </w:tbl>
    <w:p w14:paraId="5E343A71" w14:textId="77777777" w:rsidR="008312AA" w:rsidRDefault="00000000">
      <w:pPr>
        <w:spacing w:before="240" w:after="0" w:line="276" w:lineRule="auto"/>
        <w:rPr>
          <w:rFonts w:ascii="Times New Roman" w:eastAsia="Times New Roman" w:hAnsi="Times New Roman" w:cs="Times New Roman"/>
        </w:rPr>
      </w:pPr>
      <w:r>
        <w:rPr>
          <w:rFonts w:ascii="Times New Roman" w:eastAsia="Times New Roman" w:hAnsi="Times New Roman" w:cs="Times New Roman"/>
        </w:rPr>
        <w:t>Nõrkuste ja ohtude kombinatsioon on olemuslikult vältimise strateegia. Sektori arengule need kombinatsioonid reeglina kaasa ei aita. Vältida tuleks esmajoones seda, et stabiilset aastaringset sissetulekut mitte tagav rannakalandus välja ei sureks bürokraatia, reeglite karmistumise ja selle tõttu, et noorkalurite juurdekasv on väike. See lõppkokkuvõttes võib võimendada kõiki ohte kui need realiseeruma peaksid – pole kalureid, pole ohte, pole kalanduspiirkonda.</w:t>
      </w:r>
    </w:p>
    <w:p w14:paraId="14B2E934" w14:textId="77777777" w:rsidR="008312AA" w:rsidRDefault="008312AA">
      <w:pPr>
        <w:spacing w:before="240" w:after="0"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2C81BF02" w14:textId="77777777">
        <w:tc>
          <w:tcPr>
            <w:tcW w:w="9062" w:type="dxa"/>
            <w:shd w:val="clear" w:color="auto" w:fill="FFCCCC"/>
          </w:tcPr>
          <w:p w14:paraId="2EA935CD" w14:textId="77777777" w:rsidR="008312AA" w:rsidRDefault="00000000">
            <w:pPr>
              <w:spacing w:before="120" w:line="276" w:lineRule="auto"/>
              <w:rPr>
                <w:rFonts w:ascii="Times New Roman" w:eastAsia="Times New Roman" w:hAnsi="Times New Roman" w:cs="Times New Roman"/>
                <w:iCs/>
              </w:rPr>
            </w:pPr>
            <w:r>
              <w:rPr>
                <w:rFonts w:ascii="Times New Roman" w:eastAsia="Times New Roman" w:hAnsi="Times New Roman" w:cs="Times New Roman"/>
                <w:b/>
              </w:rPr>
              <w:t>Prioriteedid:</w:t>
            </w:r>
            <w:r>
              <w:rPr>
                <w:rFonts w:ascii="Times New Roman" w:eastAsia="Times New Roman" w:hAnsi="Times New Roman" w:cs="Times New Roman"/>
              </w:rPr>
              <w:t xml:space="preserve"> kalurkonna teadmiste ja oskuste edendamisele kaasaaitamine, kalurkonna tegevuste mitmekesistamise toetamine,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ja otseturustamise toetamine, kalurkonna ühtekuuluvustunde suurenemisele kaasaaitamine,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ja kohaliku merekultuuri populariseerimine, sadamate taristu parendamine ja tegevuste mitmekesistamine kalasadamas, piirkonna looduskeskkonna tingimuste parendamine, valdkonda reguleerivas õigusloomes kaasarääkimine.</w:t>
            </w:r>
          </w:p>
        </w:tc>
      </w:tr>
    </w:tbl>
    <w:p w14:paraId="088978C9" w14:textId="77777777" w:rsidR="008312AA" w:rsidRDefault="008312AA">
      <w:pPr>
        <w:spacing w:before="240" w:after="0" w:line="276" w:lineRule="auto"/>
        <w:rPr>
          <w:rFonts w:ascii="Times New Roman" w:eastAsia="Times New Roman" w:hAnsi="Times New Roman" w:cs="Times New Roman"/>
        </w:rPr>
      </w:pPr>
    </w:p>
    <w:p w14:paraId="1CEB6E52" w14:textId="77777777" w:rsidR="008312AA" w:rsidRDefault="00000000">
      <w:pPr>
        <w:spacing w:after="160" w:line="259" w:lineRule="auto"/>
        <w:rPr>
          <w:rFonts w:ascii="Times New Roman" w:eastAsia="Times New Roman" w:hAnsi="Times New Roman" w:cs="Times New Roman"/>
          <w:sz w:val="32"/>
          <w:szCs w:val="32"/>
        </w:rPr>
      </w:pPr>
      <w:bookmarkStart w:id="41" w:name="_heading=h.exhafyovemrb"/>
      <w:bookmarkEnd w:id="41"/>
      <w:r>
        <w:br w:type="page"/>
      </w:r>
    </w:p>
    <w:p w14:paraId="0EF3F537" w14:textId="77777777" w:rsidR="008312AA" w:rsidRDefault="00000000" w:rsidP="00541032">
      <w:pPr>
        <w:pStyle w:val="Pealkiri1"/>
        <w:spacing w:before="0" w:line="276" w:lineRule="auto"/>
        <w:ind w:left="0" w:firstLine="0"/>
        <w:jc w:val="left"/>
        <w:rPr>
          <w:rFonts w:ascii="Times New Roman" w:eastAsia="Times New Roman" w:hAnsi="Times New Roman" w:cs="Times New Roman"/>
          <w:color w:val="0070C0"/>
        </w:rPr>
      </w:pPr>
      <w:bookmarkStart w:id="42" w:name="_Toc157420952"/>
      <w:r>
        <w:rPr>
          <w:rFonts w:ascii="Times New Roman" w:eastAsia="Times New Roman" w:hAnsi="Times New Roman" w:cs="Times New Roman"/>
          <w:color w:val="0070C0"/>
        </w:rPr>
        <w:lastRenderedPageBreak/>
        <w:t xml:space="preserve">3.  Strateegia 2021 -2027+  </w:t>
      </w:r>
      <w:bookmarkStart w:id="43" w:name="_Hlk155947053"/>
      <w:r>
        <w:rPr>
          <w:rFonts w:ascii="Times New Roman" w:eastAsia="Times New Roman" w:hAnsi="Times New Roman" w:cs="Times New Roman"/>
          <w:color w:val="0070C0"/>
        </w:rPr>
        <w:t>vajalikkuse põhjendus, missioon ja visioon</w:t>
      </w:r>
      <w:bookmarkEnd w:id="42"/>
      <w:bookmarkEnd w:id="43"/>
    </w:p>
    <w:p w14:paraId="5F2428F9" w14:textId="17123EB5" w:rsidR="00AB289A" w:rsidRDefault="00FF4F70" w:rsidP="00FF4F70">
      <w:pPr>
        <w:rPr>
          <w:rFonts w:ascii="Times New Roman" w:hAnsi="Times New Roman" w:cs="Times New Roman"/>
        </w:rPr>
      </w:pPr>
      <w:bookmarkStart w:id="44" w:name="_heading=h.u6ozkmv8j9bs"/>
      <w:bookmarkEnd w:id="44"/>
      <w:r w:rsidRPr="00FF4F70">
        <w:rPr>
          <w:rFonts w:ascii="Times New Roman" w:hAnsi="Times New Roman" w:cs="Times New Roman"/>
        </w:rPr>
        <w:t xml:space="preserve">Siin peatüki all põhjendatakse strateegia elluviimise vajalikkust ja </w:t>
      </w:r>
      <w:r>
        <w:rPr>
          <w:rFonts w:ascii="Times New Roman" w:hAnsi="Times New Roman" w:cs="Times New Roman"/>
        </w:rPr>
        <w:t>tutvustatakse organisatsiooni visiooni, missiooni ja väärtuseid.</w:t>
      </w:r>
    </w:p>
    <w:p w14:paraId="3A708D2A" w14:textId="77777777" w:rsidR="00FF4F70" w:rsidRPr="00FF4F70" w:rsidRDefault="00FF4F70" w:rsidP="00FF4F70">
      <w:pPr>
        <w:rPr>
          <w:rFonts w:ascii="Times New Roman" w:hAnsi="Times New Roman" w:cs="Times New Roman"/>
        </w:rPr>
      </w:pPr>
    </w:p>
    <w:p w14:paraId="34DA826C" w14:textId="731A9DC9"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45" w:name="_Toc157420953"/>
      <w:r>
        <w:rPr>
          <w:rFonts w:ascii="Times New Roman" w:eastAsia="Times New Roman" w:hAnsi="Times New Roman" w:cs="Times New Roman"/>
          <w:color w:val="7030A0"/>
          <w:sz w:val="28"/>
          <w:szCs w:val="28"/>
        </w:rPr>
        <w:t xml:space="preserve">3.1. </w:t>
      </w:r>
      <w:r w:rsidR="00AB289A">
        <w:rPr>
          <w:rFonts w:ascii="Times New Roman" w:eastAsia="Times New Roman" w:hAnsi="Times New Roman" w:cs="Times New Roman"/>
          <w:color w:val="7030A0"/>
          <w:sz w:val="28"/>
          <w:szCs w:val="28"/>
        </w:rPr>
        <w:t>S</w:t>
      </w:r>
      <w:r>
        <w:rPr>
          <w:rFonts w:ascii="Times New Roman" w:eastAsia="Times New Roman" w:hAnsi="Times New Roman" w:cs="Times New Roman"/>
          <w:color w:val="7030A0"/>
          <w:sz w:val="28"/>
          <w:szCs w:val="28"/>
        </w:rPr>
        <w:t>trateegia vajalikkuse põhjendus</w:t>
      </w:r>
      <w:bookmarkEnd w:id="45"/>
    </w:p>
    <w:p w14:paraId="3DCA4133" w14:textId="77777777" w:rsidR="008312AA" w:rsidRDefault="008312AA">
      <w:pPr>
        <w:spacing w:line="276" w:lineRule="auto"/>
        <w:rPr>
          <w:rFonts w:ascii="Times New Roman" w:eastAsia="Times New Roman" w:hAnsi="Times New Roman" w:cs="Times New Roman"/>
        </w:rPr>
      </w:pPr>
    </w:p>
    <w:p w14:paraId="133424C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Kalanduspiirkonna hetkeolukorra, SWOT ja TOWS analüüsidest tulenevalt on kalanduspiirkonna  jätkusuutliku tegevuse tagamiseks vajalikud eelkõige järgmised tegevused:</w:t>
      </w:r>
    </w:p>
    <w:p w14:paraId="5274E686"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kalurkonna teadmiste ja oskuste edendamisele kaasaaitamine (kala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alased koolitused, lisaeriala õppimine kaluri tegevuste mitmekesistamise ja lisasissetulekute saamise võimaluse kontekstis, riigisisestel ja piiriülestel kalanduskoolitustel osalemine, messidel vms kalandusvaldkonnaga seotud sündmustel osalemine jne);</w:t>
      </w:r>
    </w:p>
    <w:p w14:paraId="69BC8DE6"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kohaliku kala,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ja kohaliku merekultuuri traditsioonide populariseerimisele kaasaaitamine (erinevad valdkonda tutvustavad, </w:t>
      </w:r>
      <w:proofErr w:type="spellStart"/>
      <w:r>
        <w:rPr>
          <w:rFonts w:ascii="Times New Roman" w:eastAsia="Times New Roman" w:hAnsi="Times New Roman" w:cs="Times New Roman"/>
        </w:rPr>
        <w:t>esiletoovad</w:t>
      </w:r>
      <w:proofErr w:type="spellEnd"/>
      <w:r>
        <w:rPr>
          <w:rFonts w:ascii="Times New Roman" w:eastAsia="Times New Roman" w:hAnsi="Times New Roman" w:cs="Times New Roman"/>
        </w:rPr>
        <w:t xml:space="preserve"> sündmused/ ettevõtmised piirkonnas);</w:t>
      </w:r>
    </w:p>
    <w:p w14:paraId="019CADFD"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ühtekuuluvustunnet ja identiteeti suurendavate tegevuste toetamine;</w:t>
      </w:r>
    </w:p>
    <w:p w14:paraId="72CB78EE"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kalurkonna tegevuste mitmekesistamisega seotud tegevuste (soetused, investeeringud, koolitused jms)</w:t>
      </w:r>
    </w:p>
    <w:p w14:paraId="02EB413F"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ja otseturustamise ning nendega seotud soetuste/ investeeringute toetamine;</w:t>
      </w:r>
    </w:p>
    <w:p w14:paraId="1632B36E"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hüljeste ja kormoranide arvukuse ohjamine;</w:t>
      </w:r>
    </w:p>
    <w:p w14:paraId="321A3684"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kalavarude jätkusuutlikkuse tagamisele kaasaaitamine;</w:t>
      </w:r>
    </w:p>
    <w:p w14:paraId="32AA2F3C"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piirkonna looduskeskkonna tingimuste parendamine;</w:t>
      </w:r>
    </w:p>
    <w:p w14:paraId="45E2DD00"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sadamate taristu parendamine ja tegevuste mitmekesistamine kalasadamas;</w:t>
      </w:r>
    </w:p>
    <w:p w14:paraId="2B45186D"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 xml:space="preserve">innovaatiliste s.h. </w:t>
      </w:r>
      <w:proofErr w:type="spellStart"/>
      <w:r>
        <w:rPr>
          <w:rFonts w:ascii="Times New Roman" w:eastAsia="Times New Roman" w:hAnsi="Times New Roman" w:cs="Times New Roman"/>
        </w:rPr>
        <w:t>sinimajanduse</w:t>
      </w:r>
      <w:proofErr w:type="spellEnd"/>
      <w:r>
        <w:rPr>
          <w:rFonts w:ascii="Times New Roman" w:eastAsia="Times New Roman" w:hAnsi="Times New Roman" w:cs="Times New Roman"/>
        </w:rPr>
        <w:t>, taastuvenergia jms kasutuselevõtmise toetamine;</w:t>
      </w:r>
    </w:p>
    <w:p w14:paraId="14C6D5C2" w14:textId="77777777" w:rsidR="008312AA" w:rsidRDefault="00000000">
      <w:pPr>
        <w:pStyle w:val="Loendilik"/>
        <w:numPr>
          <w:ilvl w:val="0"/>
          <w:numId w:val="8"/>
        </w:numPr>
        <w:spacing w:before="240" w:after="0" w:line="276" w:lineRule="auto"/>
        <w:rPr>
          <w:rFonts w:ascii="Times New Roman" w:eastAsia="Times New Roman" w:hAnsi="Times New Roman" w:cs="Times New Roman"/>
        </w:rPr>
      </w:pPr>
      <w:r>
        <w:rPr>
          <w:rFonts w:ascii="Times New Roman" w:eastAsia="Times New Roman" w:hAnsi="Times New Roman" w:cs="Times New Roman"/>
        </w:rPr>
        <w:t>valdkonda reguleerivas õigusloomes kaasarääkimine.</w:t>
      </w:r>
    </w:p>
    <w:p w14:paraId="2B0323E2" w14:textId="77777777" w:rsidR="008312AA" w:rsidRDefault="008312AA">
      <w:pPr>
        <w:spacing w:line="276" w:lineRule="auto"/>
        <w:rPr>
          <w:rFonts w:ascii="Times New Roman" w:eastAsia="Times New Roman" w:hAnsi="Times New Roman" w:cs="Times New Roman"/>
        </w:rPr>
      </w:pPr>
    </w:p>
    <w:p w14:paraId="3284559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Äärmiselt oluline on tõsta kalatoodete lisandväärtust, mis tähendab, et kala ei müüdaks toorelt edasi, vaid selle töötlemise tulemusena tekiksid tooted, mille eest on võimalik  küsida kõrgemat hinda ja mis vastaksid turunõudlusele. Siinkohal tuleb tähelepanu pöörata ka seni vähekasutatud liikide töötlemisele. Seega on oluline toetada igasuguste kala </w:t>
      </w:r>
      <w:proofErr w:type="spellStart"/>
      <w:r>
        <w:rPr>
          <w:rFonts w:ascii="Times New Roman" w:eastAsia="Times New Roman" w:hAnsi="Times New Roman" w:cs="Times New Roman"/>
        </w:rPr>
        <w:t>väärindamisele</w:t>
      </w:r>
      <w:proofErr w:type="spellEnd"/>
      <w:r>
        <w:rPr>
          <w:rFonts w:ascii="Times New Roman" w:eastAsia="Times New Roman" w:hAnsi="Times New Roman" w:cs="Times New Roman"/>
        </w:rPr>
        <w:t xml:space="preserve"> kaasaaitavate seadmete/ vahendite soetamist, teadmiste ja oskuste parendamist kuna ilma avaliku sektori rahalise panuseta muutuks nende tasuvusaeg ebamõistlikult pikaks.</w:t>
      </w:r>
    </w:p>
    <w:p w14:paraId="19D550F0" w14:textId="006AB1F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Oluline on toetada ka kalalaeva transpordiks vajalike transpordivahendite soetamist nagu näiteks paadikärud/ treilerid koos vintsidega. Saaremaa kalanduspiirkonna iseärasuseks on see, et paatidel ei ole valdavalt kodusadamat ja paat viiakse sinna sadamasse, kus </w:t>
      </w:r>
      <w:proofErr w:type="spellStart"/>
      <w:r>
        <w:rPr>
          <w:rFonts w:ascii="Times New Roman" w:eastAsia="Times New Roman" w:hAnsi="Times New Roman" w:cs="Times New Roman"/>
        </w:rPr>
        <w:t>mereleminek</w:t>
      </w:r>
      <w:proofErr w:type="spellEnd"/>
      <w:r>
        <w:rPr>
          <w:rFonts w:ascii="Times New Roman" w:eastAsia="Times New Roman" w:hAnsi="Times New Roman" w:cs="Times New Roman"/>
        </w:rPr>
        <w:t xml:space="preserve"> tagab ka kalasaagi, seega on oluline panustada paadi transportimise võimalust parendavatesse soetustesse, mis omakorda annavad kalurile võimaluse  transportida kala ka paadis. Vajalik on panustada investeeringutesse, mis lihtsustavad ja kergendavad kaluri töövõtteid, näiteks võrkude </w:t>
      </w:r>
      <w:proofErr w:type="spellStart"/>
      <w:r>
        <w:rPr>
          <w:rFonts w:ascii="Times New Roman" w:eastAsia="Times New Roman" w:hAnsi="Times New Roman" w:cs="Times New Roman"/>
        </w:rPr>
        <w:t>veeskamise</w:t>
      </w:r>
      <w:proofErr w:type="spellEnd"/>
      <w:r>
        <w:rPr>
          <w:rFonts w:ascii="Times New Roman" w:eastAsia="Times New Roman" w:hAnsi="Times New Roman" w:cs="Times New Roman"/>
        </w:rPr>
        <w:t xml:space="preserve"> ja nõudmise seadmed jms. Mida kiiremini toimub võrkude nõudmine veest, seda kiiremini jõuab värske kala ka tarbijani.</w:t>
      </w:r>
    </w:p>
    <w:p w14:paraId="278EC60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Kui kahel eelmisel toetusperioodil keskenduti piirkonna kalasadamates peamiselt  kutselist kalandust ja sadamataristu loomist toetavatele tegevustele, siis praegu on kalandussektori jätkusuutlikkuse tagamise seisukohalt oluline toetada kalasadamates erinevate sadama ülalpidamiseks vajalike teenuste ning meelelahutuse võimaluste loomist. Mida rohkem erinevaid teenuseid sadam suudab kogukonnale ja külalistele pakkuda, seda atraktiivsem ja toimivam see on. Kohalikest kalasadamatest peavad välja kujunema kogukonna kooskäimise kohad, see on vajalik, et säilitada kohaliku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traditsioonid ja kultuuripärand.  See parandab ühest küljest kalurkonna  olmetingimusi, teisest aga suurendab pakutavate sadamateenuste hulka, kalasadam multifunktsionaalse sadamana suudab ennast pakutavate teenuste toel ise ära majandada ja väheneb </w:t>
      </w:r>
      <w:proofErr w:type="spellStart"/>
      <w:r>
        <w:rPr>
          <w:rFonts w:ascii="Times New Roman" w:eastAsia="Times New Roman" w:hAnsi="Times New Roman" w:cs="Times New Roman"/>
        </w:rPr>
        <w:t>KOV-ide</w:t>
      </w:r>
      <w:proofErr w:type="spellEnd"/>
      <w:r>
        <w:rPr>
          <w:rFonts w:ascii="Times New Roman" w:eastAsia="Times New Roman" w:hAnsi="Times New Roman" w:cs="Times New Roman"/>
        </w:rPr>
        <w:t xml:space="preserve"> finantskoormus kalasadamate ülalpidamiseks. Lisaks sellele mängivad sadamad olulist rolli ümberkaudses majanduselus – neid on võimalik kasutada näiteks turismis, merendusõppes, väikelaevaehituses ja mujal. Ühesõnaga, sadam on rannaküla arengumootoriks. Eesmärgiks on piirkonnas optimaalse arvu ja tihedusega kalasadamate väljaarendamine.</w:t>
      </w:r>
    </w:p>
    <w:p w14:paraId="2B50C9C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Ainult kalapüügist elatuvate kalurite hulk on väga väike. See tähendab, et lisaks kalapüügile vajatakse aastaringsete sissetulekute kindlustamiseks lisategevusalasid. Uute, lisasissetulekut võimaldavate toodete ja teenuste välja arendamiseks toetuse andmine on väga vajalik. Toetada tuleb iga soetust, mis annab kalurile potentsiaalse (kas või marginaalse) võimaluse lisasissetulekute saamiseks.</w:t>
      </w:r>
    </w:p>
    <w:p w14:paraId="55597DB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Samuti on oluline toetada rannakülade ettevõtjaid, kes ei ole kalurid, kuid kes võiksid pakkuda täiendavaid valdkonnaga seotud tooteid ning teenuseid, rikastades sel viisil kalanduspiirkonda.</w:t>
      </w:r>
    </w:p>
    <w:p w14:paraId="65394FB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Kaluritele on väga oluline stabiilse ja jätkusuutliku kalavaru olemasolu. Üheks võimaluseks seda tagada on koelmualade taastamine ja/või rajamine. Saaremaal on vooluveekogusid ja järvi, mis on kalade kudemiseks sobivad. Eelmisel strateegia perioodil, 2014- 2020+, toetati koelmualade parendamist ja eksperimentaalset asustamist 229 149 € vääringus, mis prognoositavalt annab ka positiivseid tulemusi. Seega on oluline toetada koelmualade taastamist ja rajamist, tagamaks kalanduspiirkonnas piisavat kalavarude juurdekasvu. Oluline on ohjata piirkonna kalavarudele suurt ohtu tekitavate hallhüljeste ja kormoranide arvukust.</w:t>
      </w:r>
    </w:p>
    <w:p w14:paraId="62B4F99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Lisaks nn “kõvadele tegevustele” aitavad piirkonna arengule kaasa ka sotsiaalsema alatooniga ettevõtmised. Kalandus- ja merendussektor üldiselt on oma traditsioonide ja tõekspidamistega küllalt spetsiifiline. Nende säilitamiseks ja ka edendamiseks on tarvilik toetada rannarahva ja kalanduskogukondade omavahelist lävimist, s.h. kooskäimiskohtade loomist, erinevaid kohalikku kala, kalandust ja merendust populariseerivaid sündmusi, õpitubasid, laagreid, meelelahutusüritusi  jms. Oma roll on ka ajaloolistel lautrikohtadel, mistõttu tuleks nende korrastamist toetada. Oluline tähtsus on jätkata noorema põlvkonna kalandusele ja merendusele lähemale toomise traditsiooni, et hoida ja säilitada kala püüdmise ja söömise kultuuri.</w:t>
      </w:r>
    </w:p>
    <w:p w14:paraId="53D7562A" w14:textId="77777777" w:rsidR="008312AA" w:rsidRDefault="008312AA">
      <w:pPr>
        <w:pStyle w:val="Pealkiri2"/>
        <w:spacing w:line="276" w:lineRule="auto"/>
        <w:ind w:left="0" w:firstLine="0"/>
        <w:rPr>
          <w:rFonts w:ascii="Times New Roman" w:eastAsia="Times New Roman" w:hAnsi="Times New Roman" w:cs="Times New Roman"/>
          <w:color w:val="7030A0"/>
          <w:sz w:val="28"/>
          <w:szCs w:val="28"/>
        </w:rPr>
      </w:pPr>
      <w:bookmarkStart w:id="46" w:name="_heading=h.j33kxicc9z3f"/>
      <w:bookmarkEnd w:id="46"/>
    </w:p>
    <w:p w14:paraId="07117A54"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47" w:name="_Toc157420954"/>
      <w:r>
        <w:rPr>
          <w:rFonts w:ascii="Times New Roman" w:eastAsia="Times New Roman" w:hAnsi="Times New Roman" w:cs="Times New Roman"/>
          <w:color w:val="7030A0"/>
          <w:sz w:val="28"/>
          <w:szCs w:val="28"/>
        </w:rPr>
        <w:t>3.2. Missioon</w:t>
      </w:r>
      <w:bookmarkEnd w:id="47"/>
    </w:p>
    <w:p w14:paraId="3BE48A05" w14:textId="77777777" w:rsidR="00FB27C3" w:rsidRPr="00FB27C3" w:rsidRDefault="00FB27C3" w:rsidP="00FB27C3"/>
    <w:tbl>
      <w:tblPr>
        <w:tblStyle w:val="Kontuurtabel"/>
        <w:tblW w:w="0" w:type="auto"/>
        <w:tblLook w:val="04A0" w:firstRow="1" w:lastRow="0" w:firstColumn="1" w:lastColumn="0" w:noHBand="0" w:noVBand="1"/>
      </w:tblPr>
      <w:tblGrid>
        <w:gridCol w:w="9062"/>
      </w:tblGrid>
      <w:tr w:rsidR="00FB27C3" w14:paraId="619CEC80" w14:textId="77777777" w:rsidTr="00C453DE">
        <w:tc>
          <w:tcPr>
            <w:tcW w:w="9062" w:type="dxa"/>
            <w:shd w:val="clear" w:color="auto" w:fill="99FF99"/>
          </w:tcPr>
          <w:p w14:paraId="4BDFBE86" w14:textId="5F5650E6" w:rsidR="00FB27C3" w:rsidRPr="00C453DE" w:rsidRDefault="00FB27C3">
            <w:p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MTÜ Saarte Kalandus tegutseb selle nimel, et Saaremaa elanikele ja külastajatele oleks aastaringselt kohalik värske kala kättesaadav.</w:t>
            </w:r>
          </w:p>
        </w:tc>
      </w:tr>
    </w:tbl>
    <w:p w14:paraId="448E9FAA" w14:textId="77777777" w:rsidR="008312AA" w:rsidRDefault="008312AA">
      <w:pPr>
        <w:spacing w:line="276" w:lineRule="auto"/>
        <w:rPr>
          <w:rFonts w:ascii="Times New Roman" w:hAnsi="Times New Roman" w:cs="Times New Roman"/>
        </w:rPr>
      </w:pPr>
    </w:p>
    <w:p w14:paraId="66F3D1F2" w14:textId="77777777" w:rsidR="008312AA" w:rsidRDefault="008312AA">
      <w:pPr>
        <w:spacing w:line="276" w:lineRule="auto"/>
        <w:rPr>
          <w:rFonts w:ascii="Times New Roman" w:eastAsia="Times New Roman" w:hAnsi="Times New Roman" w:cs="Times New Roman"/>
        </w:rPr>
      </w:pPr>
    </w:p>
    <w:p w14:paraId="32CA117F"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48" w:name="_heading=h.8ejuuqrm9v97"/>
      <w:bookmarkStart w:id="49" w:name="_Toc157420955"/>
      <w:bookmarkEnd w:id="48"/>
      <w:r>
        <w:rPr>
          <w:rFonts w:ascii="Times New Roman" w:eastAsia="Times New Roman" w:hAnsi="Times New Roman" w:cs="Times New Roman"/>
          <w:color w:val="7030A0"/>
          <w:sz w:val="28"/>
          <w:szCs w:val="28"/>
        </w:rPr>
        <w:t>3.3. Visioon</w:t>
      </w:r>
      <w:bookmarkEnd w:id="49"/>
    </w:p>
    <w:p w14:paraId="7027B591" w14:textId="046D240D" w:rsidR="008312AA" w:rsidRDefault="008312AA">
      <w:pPr>
        <w:spacing w:line="276" w:lineRule="auto"/>
        <w:rPr>
          <w:rFonts w:ascii="Times New Roman" w:eastAsia="Times New Roman" w:hAnsi="Times New Roman" w:cs="Times New Roman"/>
        </w:rPr>
      </w:pPr>
    </w:p>
    <w:tbl>
      <w:tblPr>
        <w:tblStyle w:val="Kontuurtabel"/>
        <w:tblW w:w="0" w:type="auto"/>
        <w:tblLook w:val="04A0" w:firstRow="1" w:lastRow="0" w:firstColumn="1" w:lastColumn="0" w:noHBand="0" w:noVBand="1"/>
      </w:tblPr>
      <w:tblGrid>
        <w:gridCol w:w="9062"/>
      </w:tblGrid>
      <w:tr w:rsidR="00C453DE" w:rsidRPr="00464746" w14:paraId="25372638" w14:textId="77777777" w:rsidTr="00C453DE">
        <w:tc>
          <w:tcPr>
            <w:tcW w:w="9062" w:type="dxa"/>
            <w:shd w:val="clear" w:color="auto" w:fill="FFC6C6"/>
          </w:tcPr>
          <w:p w14:paraId="7E6C8BAB" w14:textId="6A0CC43D" w:rsidR="00C453DE" w:rsidRPr="00464746" w:rsidRDefault="00C453DE" w:rsidP="00464746">
            <w:pPr>
              <w:rPr>
                <w:rFonts w:ascii="Times New Roman" w:hAnsi="Times New Roman" w:cs="Times New Roman"/>
                <w:b/>
                <w:bCs/>
              </w:rPr>
            </w:pPr>
            <w:bookmarkStart w:id="50" w:name="_heading=h.rquc0k4ax19z"/>
            <w:bookmarkEnd w:id="50"/>
            <w:r w:rsidRPr="00464746">
              <w:rPr>
                <w:rFonts w:ascii="Times New Roman" w:hAnsi="Times New Roman" w:cs="Times New Roman"/>
                <w:b/>
                <w:bCs/>
              </w:rPr>
              <w:t>Ranna- ja kalanduskogukonnad on Saaremaal elujõulised ja arenevad – kalurite aastaringne, tegevuste mitmekesistamise abil suurenev sissetulek võimaldab neil senist elustiili jätkata ja nii kohalikel kui külastajatel pakutavast kalasaagist ning kalatoodetest osa saada.</w:t>
            </w:r>
          </w:p>
        </w:tc>
      </w:tr>
    </w:tbl>
    <w:p w14:paraId="3E6D6B9E" w14:textId="77777777" w:rsidR="008312AA" w:rsidRDefault="008312AA">
      <w:pPr>
        <w:pStyle w:val="Pealkiri2"/>
        <w:spacing w:line="276" w:lineRule="auto"/>
        <w:ind w:left="0" w:firstLine="0"/>
        <w:rPr>
          <w:rFonts w:ascii="Times New Roman" w:eastAsia="Times New Roman" w:hAnsi="Times New Roman" w:cs="Times New Roman"/>
          <w:color w:val="auto"/>
          <w:sz w:val="24"/>
          <w:szCs w:val="24"/>
        </w:rPr>
      </w:pPr>
    </w:p>
    <w:p w14:paraId="06C674A1"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51" w:name="_Toc157420956"/>
      <w:r>
        <w:rPr>
          <w:rFonts w:ascii="Times New Roman" w:hAnsi="Times New Roman" w:cs="Times New Roman"/>
          <w:color w:val="7030A0"/>
          <w:sz w:val="28"/>
          <w:szCs w:val="28"/>
        </w:rPr>
        <w:t>3.4. Väärtused</w:t>
      </w:r>
      <w:bookmarkEnd w:id="51"/>
    </w:p>
    <w:p w14:paraId="2AEF10B0" w14:textId="77777777" w:rsidR="00C453DE" w:rsidRPr="00C453DE" w:rsidRDefault="00C453DE" w:rsidP="00C453DE"/>
    <w:tbl>
      <w:tblPr>
        <w:tblStyle w:val="Kontuurtabel"/>
        <w:tblW w:w="0" w:type="auto"/>
        <w:tblLook w:val="04A0" w:firstRow="1" w:lastRow="0" w:firstColumn="1" w:lastColumn="0" w:noHBand="0" w:noVBand="1"/>
      </w:tblPr>
      <w:tblGrid>
        <w:gridCol w:w="9062"/>
      </w:tblGrid>
      <w:tr w:rsidR="00C453DE" w14:paraId="7A204FF3" w14:textId="77777777" w:rsidTr="007654E5">
        <w:tc>
          <w:tcPr>
            <w:tcW w:w="9062" w:type="dxa"/>
            <w:shd w:val="clear" w:color="auto" w:fill="79F7FD"/>
          </w:tcPr>
          <w:p w14:paraId="56C8DE52" w14:textId="77777777"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avatus ja usaldusväärsus;</w:t>
            </w:r>
          </w:p>
          <w:p w14:paraId="7305DEE8" w14:textId="77777777"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võrdväärne partnerlus;</w:t>
            </w:r>
          </w:p>
          <w:p w14:paraId="4345526F" w14:textId="77777777"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initsiatiivikus ja omaalgatus;</w:t>
            </w:r>
          </w:p>
          <w:p w14:paraId="55783262" w14:textId="77777777"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meeskonnatöö;</w:t>
            </w:r>
          </w:p>
          <w:p w14:paraId="2E01121B" w14:textId="4D1B5CDC" w:rsidR="00C453DE" w:rsidRPr="00C453DE" w:rsidRDefault="00C453DE" w:rsidP="00C453DE">
            <w:pPr>
              <w:pStyle w:val="Loendilik"/>
              <w:numPr>
                <w:ilvl w:val="0"/>
                <w:numId w:val="15"/>
              </w:numPr>
              <w:spacing w:line="276" w:lineRule="auto"/>
              <w:rPr>
                <w:rFonts w:ascii="Times New Roman" w:eastAsia="Times New Roman" w:hAnsi="Times New Roman" w:cs="Times New Roman"/>
                <w:b/>
                <w:bCs/>
              </w:rPr>
            </w:pPr>
            <w:r w:rsidRPr="00C453DE">
              <w:rPr>
                <w:rFonts w:ascii="Times New Roman" w:eastAsia="Times New Roman" w:hAnsi="Times New Roman" w:cs="Times New Roman"/>
                <w:b/>
                <w:bCs/>
              </w:rPr>
              <w:t>ranna- ja kalanduskogukondade aktiivne kaasatus MTÜ tegevusse.</w:t>
            </w:r>
          </w:p>
        </w:tc>
      </w:tr>
    </w:tbl>
    <w:p w14:paraId="0674EB01" w14:textId="77777777" w:rsidR="008312AA" w:rsidRDefault="008312AA">
      <w:pPr>
        <w:spacing w:line="276" w:lineRule="auto"/>
        <w:rPr>
          <w:rFonts w:ascii="Times New Roman" w:hAnsi="Times New Roman" w:cs="Times New Roman"/>
        </w:rPr>
      </w:pPr>
    </w:p>
    <w:p w14:paraId="510514A5" w14:textId="49015ECE"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elluviimiseks on püstitatud valdkondlikud eesmärgid, mis vastavad meetme määruses väljatoodud tegevussuundadele. </w:t>
      </w:r>
      <w:r w:rsidR="00FB27C3">
        <w:rPr>
          <w:rFonts w:ascii="Times New Roman" w:eastAsia="Times New Roman" w:hAnsi="Times New Roman" w:cs="Times New Roman"/>
        </w:rPr>
        <w:t xml:space="preserve">MTÜ </w:t>
      </w:r>
      <w:r>
        <w:rPr>
          <w:rFonts w:ascii="Times New Roman" w:eastAsia="Times New Roman" w:hAnsi="Times New Roman" w:cs="Times New Roman"/>
        </w:rPr>
        <w:t>Saarte Kalandus plaanib rakendada kõiki määrusega toetatavaid tegevussuundi.</w:t>
      </w:r>
    </w:p>
    <w:p w14:paraId="4AF5E1F8" w14:textId="77777777" w:rsidR="008312AA" w:rsidRDefault="00000000">
      <w:pPr>
        <w:spacing w:after="160" w:line="259" w:lineRule="auto"/>
        <w:rPr>
          <w:rFonts w:ascii="Times New Roman" w:eastAsia="Times New Roman" w:hAnsi="Times New Roman" w:cs="Times New Roman"/>
        </w:rPr>
      </w:pPr>
      <w:r>
        <w:br w:type="page"/>
      </w:r>
    </w:p>
    <w:p w14:paraId="55EAD3BD" w14:textId="77777777" w:rsidR="008312AA" w:rsidRDefault="00000000" w:rsidP="00541032">
      <w:pPr>
        <w:pStyle w:val="Pealkiri1"/>
        <w:spacing w:before="0" w:line="276" w:lineRule="auto"/>
        <w:ind w:left="0" w:firstLine="0"/>
        <w:jc w:val="left"/>
        <w:rPr>
          <w:rFonts w:ascii="Times New Roman" w:eastAsia="Times New Roman" w:hAnsi="Times New Roman" w:cs="Times New Roman"/>
          <w:color w:val="0070C0"/>
        </w:rPr>
      </w:pPr>
      <w:bookmarkStart w:id="52" w:name="_Toc157420957"/>
      <w:r>
        <w:rPr>
          <w:rFonts w:ascii="Times New Roman" w:eastAsia="Times New Roman" w:hAnsi="Times New Roman" w:cs="Times New Roman"/>
          <w:color w:val="0070C0"/>
        </w:rPr>
        <w:lastRenderedPageBreak/>
        <w:t>4.  Strateegia tegevussuundade eesmärgid ja toetatavad tegevused</w:t>
      </w:r>
      <w:bookmarkEnd w:id="52"/>
    </w:p>
    <w:p w14:paraId="2CC9E209" w14:textId="77777777" w:rsidR="008312AA" w:rsidRDefault="008312AA">
      <w:pPr>
        <w:spacing w:line="276" w:lineRule="auto"/>
        <w:rPr>
          <w:rFonts w:ascii="Times New Roman" w:eastAsia="Times New Roman" w:hAnsi="Times New Roman" w:cs="Times New Roman"/>
        </w:rPr>
      </w:pPr>
    </w:p>
    <w:p w14:paraId="57F14E1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tegevuse eesmärgid lähtuvad piirkonna hetkeolukorra ja SWOT/ TOWS- analüüsil baseeruvast strateegiast. Eesmärgid on suunatud peamiste kalanduspiirkonna kitsaskohtade lahendamisele. Samuti aitavad eesmärgid säilitada olemasolevaid töökohti sektoris. Eesmärke on püstitatud kuues tegevus valdkonnas.</w:t>
      </w:r>
    </w:p>
    <w:p w14:paraId="5F4D5B2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Eesmärgid on struktureeritud vastavalt Regionaalministri  määruses “Perioodi 2021-2027 kogukonna juhitud kohaliku arengu toetus” käsitletud tegevussuundadele.</w:t>
      </w:r>
    </w:p>
    <w:p w14:paraId="35AF247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Toetatavad tegevused on püstitatud strateegiliste eesmärkide ja visiooni täitmiseks, võttes arvesse nii hetkeolukorda kui ka püstitatud eesmärke. Iga tegevussuuna juures on ära toodud tegevussuuna rakendamise lühike põhjendus ja seejärel peamiste toetatavate tegevuste kirjeldus (tegemist ei ole kindla loeteluga vaid taotlejat suunava toetusvaldkonna kirjeldusega).</w:t>
      </w:r>
    </w:p>
    <w:p w14:paraId="1B15AFC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Iga eesmärgi mõõtmist võimaldab vastav indikaator, määratletud on nii tulemus- kui ka väljundtasemed</w:t>
      </w:r>
    </w:p>
    <w:p w14:paraId="2A05765B" w14:textId="77777777" w:rsidR="008312AA" w:rsidRDefault="008312AA">
      <w:pPr>
        <w:spacing w:line="276" w:lineRule="auto"/>
        <w:rPr>
          <w:rFonts w:ascii="Times New Roman" w:eastAsia="Times New Roman" w:hAnsi="Times New Roman" w:cs="Times New Roman"/>
        </w:rPr>
      </w:pPr>
    </w:p>
    <w:p w14:paraId="2E9A4DB6"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53" w:name="_Toc157420958"/>
      <w:r>
        <w:rPr>
          <w:rFonts w:ascii="Times New Roman" w:eastAsia="Times New Roman" w:hAnsi="Times New Roman" w:cs="Times New Roman"/>
          <w:color w:val="7030A0"/>
          <w:sz w:val="28"/>
          <w:szCs w:val="28"/>
        </w:rPr>
        <w:t xml:space="preserve">4.1. Tegevussuund 1:Vee-elusressursside </w:t>
      </w:r>
      <w:proofErr w:type="spellStart"/>
      <w:r>
        <w:rPr>
          <w:rFonts w:ascii="Times New Roman" w:eastAsia="Times New Roman" w:hAnsi="Times New Roman" w:cs="Times New Roman"/>
          <w:color w:val="7030A0"/>
          <w:sz w:val="28"/>
          <w:szCs w:val="28"/>
        </w:rPr>
        <w:t>väärindamine</w:t>
      </w:r>
      <w:proofErr w:type="spellEnd"/>
      <w:r>
        <w:rPr>
          <w:rFonts w:ascii="Times New Roman" w:eastAsia="Times New Roman" w:hAnsi="Times New Roman" w:cs="Times New Roman"/>
          <w:color w:val="7030A0"/>
          <w:sz w:val="28"/>
          <w:szCs w:val="28"/>
        </w:rPr>
        <w:t xml:space="preserve"> ja otseturustamine</w:t>
      </w:r>
      <w:bookmarkEnd w:id="53"/>
    </w:p>
    <w:p w14:paraId="70A411FC" w14:textId="77777777" w:rsidR="008312AA" w:rsidRDefault="008312AA">
      <w:pPr>
        <w:spacing w:line="276" w:lineRule="auto"/>
        <w:rPr>
          <w:rFonts w:ascii="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454F8E7B" w14:textId="77777777">
        <w:tc>
          <w:tcPr>
            <w:tcW w:w="9062" w:type="dxa"/>
            <w:shd w:val="clear" w:color="auto" w:fill="C2F2F8"/>
          </w:tcPr>
          <w:p w14:paraId="6152ECB4" w14:textId="77777777" w:rsidR="008312AA" w:rsidRDefault="00000000">
            <w:pPr>
              <w:spacing w:line="276" w:lineRule="auto"/>
              <w:rPr>
                <w:rFonts w:ascii="Times New Roman" w:eastAsia="Times New Roman" w:hAnsi="Times New Roman" w:cs="Times New Roman"/>
                <w:highlight w:val="yellow"/>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piirkonna rannakalurite sissetulekud vajavad tõstmist,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ja otseturustamisega seotud  vahendite, seadmete, teadmiste ja oskuste parendamine aitab kaasa lisasissetulekute saamisele ja suurendab konkurentsivõimet kalandustoodete turul.</w:t>
            </w:r>
          </w:p>
        </w:tc>
      </w:tr>
    </w:tbl>
    <w:p w14:paraId="1819DD67"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0946FDBA" w14:textId="77777777">
        <w:tc>
          <w:tcPr>
            <w:tcW w:w="9062" w:type="dxa"/>
            <w:shd w:val="clear" w:color="auto" w:fill="FFCCCC"/>
          </w:tcPr>
          <w:p w14:paraId="334F6E4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Eesmärk: </w:t>
            </w:r>
            <w:r>
              <w:rPr>
                <w:rFonts w:ascii="Times New Roman" w:eastAsia="Times New Roman" w:hAnsi="Times New Roman" w:cs="Times New Roman"/>
              </w:rPr>
              <w:t>Saaremaa rannakalurite valmistatud kalatooted on turul kättesaadavad ja nende sortiment on mitmekesine, tagades kalurile lisasissetuleku.</w:t>
            </w:r>
          </w:p>
        </w:tc>
      </w:tr>
    </w:tbl>
    <w:p w14:paraId="0380912E" w14:textId="77777777" w:rsidR="008312AA" w:rsidRDefault="008312AA">
      <w:pPr>
        <w:spacing w:line="276" w:lineRule="auto"/>
        <w:rPr>
          <w:rFonts w:ascii="Times New Roman" w:eastAsia="Times New Roman" w:hAnsi="Times New Roman" w:cs="Times New Roman"/>
          <w:b/>
        </w:rPr>
      </w:pPr>
    </w:p>
    <w:tbl>
      <w:tblPr>
        <w:tblW w:w="9060" w:type="dxa"/>
        <w:tblInd w:w="-100" w:type="dxa"/>
        <w:tblLayout w:type="fixed"/>
        <w:tblCellMar>
          <w:top w:w="100" w:type="dxa"/>
          <w:left w:w="100" w:type="dxa"/>
          <w:bottom w:w="100" w:type="dxa"/>
          <w:right w:w="100" w:type="dxa"/>
        </w:tblCellMar>
        <w:tblLook w:val="0600" w:firstRow="0" w:lastRow="0" w:firstColumn="0" w:lastColumn="0" w:noHBand="1" w:noVBand="1"/>
      </w:tblPr>
      <w:tblGrid>
        <w:gridCol w:w="3495"/>
        <w:gridCol w:w="2984"/>
        <w:gridCol w:w="2581"/>
      </w:tblGrid>
      <w:tr w:rsidR="008312AA" w14:paraId="22D2866D" w14:textId="77777777">
        <w:trPr>
          <w:trHeight w:val="620"/>
        </w:trPr>
        <w:tc>
          <w:tcPr>
            <w:tcW w:w="3495" w:type="dxa"/>
            <w:tcBorders>
              <w:top w:val="single" w:sz="8" w:space="0" w:color="000000"/>
              <w:left w:val="single" w:sz="8" w:space="0" w:color="000000"/>
              <w:bottom w:val="single" w:sz="8" w:space="0" w:color="000000"/>
              <w:right w:val="single" w:sz="8" w:space="0" w:color="000000"/>
            </w:tcBorders>
            <w:shd w:val="clear" w:color="auto" w:fill="C2F2F8"/>
          </w:tcPr>
          <w:p w14:paraId="764E458F"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2984" w:type="dxa"/>
            <w:tcBorders>
              <w:top w:val="single" w:sz="8" w:space="0" w:color="000000"/>
              <w:bottom w:val="single" w:sz="8" w:space="0" w:color="000000"/>
              <w:right w:val="single" w:sz="8" w:space="0" w:color="000000"/>
            </w:tcBorders>
            <w:shd w:val="clear" w:color="auto" w:fill="C2F2F8"/>
          </w:tcPr>
          <w:p w14:paraId="33CF7377"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2027</w:t>
            </w:r>
          </w:p>
        </w:tc>
        <w:tc>
          <w:tcPr>
            <w:tcW w:w="2581" w:type="dxa"/>
            <w:tcBorders>
              <w:top w:val="single" w:sz="8" w:space="0" w:color="000000"/>
              <w:bottom w:val="single" w:sz="8" w:space="0" w:color="000000"/>
              <w:right w:val="single" w:sz="8" w:space="0" w:color="000000"/>
            </w:tcBorders>
            <w:shd w:val="clear" w:color="auto" w:fill="C2F2F8"/>
          </w:tcPr>
          <w:p w14:paraId="388D6117"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2027</w:t>
            </w:r>
          </w:p>
        </w:tc>
      </w:tr>
      <w:tr w:rsidR="008312AA" w14:paraId="5EC2406A" w14:textId="77777777">
        <w:trPr>
          <w:trHeight w:val="905"/>
        </w:trPr>
        <w:tc>
          <w:tcPr>
            <w:tcW w:w="3495" w:type="dxa"/>
            <w:tcBorders>
              <w:left w:val="single" w:sz="8" w:space="0" w:color="000000"/>
              <w:bottom w:val="single" w:sz="8" w:space="0" w:color="000000"/>
              <w:right w:val="single" w:sz="8" w:space="0" w:color="000000"/>
            </w:tcBorders>
          </w:tcPr>
          <w:p w14:paraId="017BB9A0"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Saaremaa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valdkonnas tegutsevate ettevõtete müügitulu (sissetulekute suurenemine)</w:t>
            </w:r>
          </w:p>
          <w:p w14:paraId="028CE12E" w14:textId="77777777" w:rsidR="008312AA" w:rsidRDefault="008312AA">
            <w:pPr>
              <w:spacing w:before="300" w:line="276" w:lineRule="auto"/>
              <w:jc w:val="left"/>
              <w:rPr>
                <w:rFonts w:ascii="Times New Roman" w:eastAsia="Times New Roman" w:hAnsi="Times New Roman" w:cs="Times New Roman"/>
              </w:rPr>
            </w:pPr>
          </w:p>
          <w:p w14:paraId="71A76213" w14:textId="77777777" w:rsidR="008312AA" w:rsidRDefault="008312AA">
            <w:pPr>
              <w:spacing w:before="300" w:line="276" w:lineRule="auto"/>
              <w:jc w:val="left"/>
              <w:rPr>
                <w:rFonts w:ascii="Times New Roman" w:eastAsia="Times New Roman" w:hAnsi="Times New Roman" w:cs="Times New Roman"/>
              </w:rPr>
            </w:pPr>
          </w:p>
          <w:p w14:paraId="3D6A595D"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 xml:space="preserve">Uute või parendatud teenuste/ toodete kasutuselevõtmine s.h. töövõtteid nutikamaks/ lihtsamaks tegevate lahenduste kasutusele võtmine </w:t>
            </w:r>
          </w:p>
          <w:p w14:paraId="33F32A0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Keskkonnasäästlike (taastuv)energia lahenduste kasutusele võtmine</w:t>
            </w:r>
          </w:p>
        </w:tc>
        <w:tc>
          <w:tcPr>
            <w:tcW w:w="2984" w:type="dxa"/>
            <w:tcBorders>
              <w:bottom w:val="single" w:sz="8" w:space="0" w:color="000000"/>
              <w:right w:val="single" w:sz="8" w:space="0" w:color="000000"/>
            </w:tcBorders>
          </w:tcPr>
          <w:p w14:paraId="129F9E2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Ettevõtja sissetuleku suurenemine (siht: olenevalt investeeringust, kasv vähemalt 10% kaks aastat peale projekti lõppu)</w:t>
            </w:r>
          </w:p>
          <w:p w14:paraId="108297E2" w14:textId="77777777" w:rsidR="008312AA" w:rsidRDefault="008312AA">
            <w:pPr>
              <w:spacing w:before="300" w:line="276" w:lineRule="auto"/>
              <w:jc w:val="left"/>
              <w:rPr>
                <w:rFonts w:ascii="Times New Roman" w:eastAsia="Times New Roman" w:hAnsi="Times New Roman" w:cs="Times New Roman"/>
              </w:rPr>
            </w:pPr>
          </w:p>
          <w:p w14:paraId="7D09738B" w14:textId="77777777" w:rsidR="008312AA" w:rsidRDefault="008312AA">
            <w:pPr>
              <w:spacing w:before="300" w:line="276" w:lineRule="auto"/>
              <w:jc w:val="left"/>
              <w:rPr>
                <w:rFonts w:ascii="Times New Roman" w:eastAsia="Times New Roman" w:hAnsi="Times New Roman" w:cs="Times New Roman"/>
              </w:rPr>
            </w:pPr>
          </w:p>
          <w:p w14:paraId="6EA28F68"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Uute või parendatud teenuste/ toodete/ tegevuste  arv (siht: 30)</w:t>
            </w:r>
          </w:p>
          <w:p w14:paraId="6D6488FB" w14:textId="77777777" w:rsidR="008312AA" w:rsidRDefault="008312AA">
            <w:pPr>
              <w:spacing w:before="300" w:line="276" w:lineRule="auto"/>
              <w:jc w:val="left"/>
              <w:rPr>
                <w:rFonts w:ascii="Times New Roman" w:eastAsia="Times New Roman" w:hAnsi="Times New Roman" w:cs="Times New Roman"/>
              </w:rPr>
            </w:pPr>
          </w:p>
          <w:p w14:paraId="44E7FD4B"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Kasutusele võetud kW-d</w:t>
            </w:r>
          </w:p>
        </w:tc>
        <w:tc>
          <w:tcPr>
            <w:tcW w:w="2581" w:type="dxa"/>
            <w:tcBorders>
              <w:bottom w:val="single" w:sz="8" w:space="0" w:color="000000"/>
              <w:right w:val="single" w:sz="8" w:space="0" w:color="000000"/>
            </w:tcBorders>
          </w:tcPr>
          <w:p w14:paraId="12ED06AF"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 xml:space="preserve">Toetust saanud ettevõtjate arv </w:t>
            </w:r>
          </w:p>
          <w:p w14:paraId="2A261249" w14:textId="77777777" w:rsidR="008312AA" w:rsidRDefault="008312AA">
            <w:pPr>
              <w:spacing w:before="300" w:line="276" w:lineRule="auto"/>
              <w:jc w:val="left"/>
              <w:rPr>
                <w:rFonts w:ascii="Times New Roman" w:eastAsia="Times New Roman" w:hAnsi="Times New Roman" w:cs="Times New Roman"/>
              </w:rPr>
            </w:pPr>
          </w:p>
          <w:p w14:paraId="11984287" w14:textId="77777777" w:rsidR="008312AA" w:rsidRDefault="008312AA">
            <w:pPr>
              <w:spacing w:before="300" w:line="276" w:lineRule="auto"/>
              <w:jc w:val="left"/>
              <w:rPr>
                <w:rFonts w:ascii="Times New Roman" w:eastAsia="Times New Roman" w:hAnsi="Times New Roman" w:cs="Times New Roman"/>
              </w:rPr>
            </w:pPr>
          </w:p>
          <w:p w14:paraId="193CFDE0" w14:textId="77777777" w:rsidR="008312AA" w:rsidRDefault="008312AA">
            <w:pPr>
              <w:spacing w:before="300" w:line="276" w:lineRule="auto"/>
              <w:jc w:val="left"/>
              <w:rPr>
                <w:rFonts w:ascii="Times New Roman" w:eastAsia="Times New Roman" w:hAnsi="Times New Roman" w:cs="Times New Roman"/>
              </w:rPr>
            </w:pPr>
          </w:p>
          <w:p w14:paraId="53E44321" w14:textId="77777777" w:rsidR="008312AA" w:rsidRDefault="008312AA">
            <w:pPr>
              <w:spacing w:before="300" w:line="276" w:lineRule="auto"/>
              <w:jc w:val="left"/>
              <w:rPr>
                <w:rFonts w:ascii="Times New Roman" w:eastAsia="Times New Roman" w:hAnsi="Times New Roman" w:cs="Times New Roman"/>
              </w:rPr>
            </w:pPr>
          </w:p>
          <w:p w14:paraId="76F03123"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Teenuste, toodete/ tegevuste mitmekesistamise/ arendamise projektide arv </w:t>
            </w:r>
          </w:p>
          <w:p w14:paraId="7799F7FC" w14:textId="77777777" w:rsidR="008312AA" w:rsidRDefault="008312AA">
            <w:pPr>
              <w:spacing w:before="300" w:line="276" w:lineRule="auto"/>
              <w:jc w:val="left"/>
              <w:rPr>
                <w:rFonts w:ascii="Times New Roman" w:eastAsia="Times New Roman" w:hAnsi="Times New Roman" w:cs="Times New Roman"/>
              </w:rPr>
            </w:pPr>
          </w:p>
          <w:p w14:paraId="68CB6A84" w14:textId="77777777" w:rsidR="008312AA" w:rsidRDefault="008312AA">
            <w:pPr>
              <w:spacing w:before="300" w:line="276" w:lineRule="auto"/>
              <w:jc w:val="left"/>
              <w:rPr>
                <w:rFonts w:ascii="Times New Roman" w:eastAsia="Times New Roman" w:hAnsi="Times New Roman" w:cs="Times New Roman"/>
              </w:rPr>
            </w:pPr>
          </w:p>
        </w:tc>
      </w:tr>
    </w:tbl>
    <w:p w14:paraId="5D2E0304" w14:textId="77777777" w:rsidR="008312AA" w:rsidRDefault="008312AA">
      <w:pPr>
        <w:spacing w:line="276" w:lineRule="auto"/>
        <w:rPr>
          <w:rFonts w:ascii="Times New Roman" w:eastAsia="Times New Roman" w:hAnsi="Times New Roman" w:cs="Times New Roman"/>
        </w:rPr>
      </w:pPr>
    </w:p>
    <w:p w14:paraId="4936887E"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Toetatavad tegevused:</w:t>
      </w:r>
    </w:p>
    <w:p w14:paraId="4C1F340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Tegevussuuna alt toetatakse kalatoodete töötlemise ja/ või turustamise võimalusi parendavate projektide elluviimist suurema lisandväärtuse loomiseks. Toetatakse värske kala säilitamise ja transpordivõimaluste parendamisele kaasaaitavaid projekte. Toetatakse kalurkonna kala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otseturustamise jms teadmiste ja oskuste edendamisele kaasa aitavad projekte.</w:t>
      </w:r>
    </w:p>
    <w:p w14:paraId="641B9362"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Toetatavate tegevuste kirjeldus täpsemalt:</w:t>
      </w:r>
    </w:p>
    <w:p w14:paraId="10F20234"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 xml:space="preserve">Tootmishooned sh roostevaba sisustus, kuivatuskambrid, käitlusseadmed, laoseadmed (tõstuk, </w:t>
      </w:r>
      <w:proofErr w:type="spellStart"/>
      <w:r w:rsidRPr="00E3093D">
        <w:rPr>
          <w:rFonts w:ascii="Times New Roman" w:eastAsia="Times New Roman" w:hAnsi="Times New Roman" w:cs="Times New Roman"/>
        </w:rPr>
        <w:t>rokla</w:t>
      </w:r>
      <w:proofErr w:type="spellEnd"/>
      <w:r w:rsidRPr="00E3093D">
        <w:rPr>
          <w:rFonts w:ascii="Times New Roman" w:eastAsia="Times New Roman" w:hAnsi="Times New Roman" w:cs="Times New Roman"/>
        </w:rPr>
        <w:t>, kaalud jms), lao sisustuse, tootmis ja käitlemishoonete küttesüsteemid, mõrra ja võrgukuurid (hooned) väljaspool sadamat jms.</w:t>
      </w:r>
    </w:p>
    <w:p w14:paraId="2F4B3213"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proofErr w:type="spellStart"/>
      <w:r w:rsidRPr="00E3093D">
        <w:rPr>
          <w:rFonts w:ascii="Times New Roman" w:eastAsia="Times New Roman" w:hAnsi="Times New Roman" w:cs="Times New Roman"/>
        </w:rPr>
        <w:t>Väärindamise</w:t>
      </w:r>
      <w:proofErr w:type="spellEnd"/>
      <w:r w:rsidRPr="00E3093D">
        <w:rPr>
          <w:rFonts w:ascii="Times New Roman" w:eastAsia="Times New Roman" w:hAnsi="Times New Roman" w:cs="Times New Roman"/>
        </w:rPr>
        <w:t xml:space="preserve"> ja esmatöötlemise vahendid tööprotsesside hõlbustamiseks - suitsuahjud, grillid, kiirkülmad, autoklaavid, fileerimisseadmed, vaakumpakendajad, vaakumpumbad, roostevaba sisustus ja muud lisandväärtuse andmiseks vajalikud seadmed.</w:t>
      </w:r>
    </w:p>
    <w:p w14:paraId="72CCCAAE"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 xml:space="preserve">Teenuse </w:t>
      </w:r>
      <w:proofErr w:type="spellStart"/>
      <w:r w:rsidRPr="00E3093D">
        <w:rPr>
          <w:rFonts w:ascii="Times New Roman" w:eastAsia="Times New Roman" w:hAnsi="Times New Roman" w:cs="Times New Roman"/>
        </w:rPr>
        <w:t>sisseostmine</w:t>
      </w:r>
      <w:proofErr w:type="spellEnd"/>
      <w:r w:rsidRPr="00E3093D">
        <w:rPr>
          <w:rFonts w:ascii="Times New Roman" w:eastAsia="Times New Roman" w:hAnsi="Times New Roman" w:cs="Times New Roman"/>
        </w:rPr>
        <w:t xml:space="preserve"> tootekvaliteedi parendamise eesmärgil sh toodete arendamiseks - enesekontrolli plaani koostamine, kestvuskatsed uue toote turule toomiseks, tootmisega alustamiseks esmaste vajalike analüüside paketi soetamise  jms.</w:t>
      </w:r>
    </w:p>
    <w:p w14:paraId="358875DD"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Otseturustamise võimaluste edendamine - külmikveokid, sh külmikhaagised, müügikioskid, kalakastid, konteinerid, taarapesu vahendid, pakkeseadmed jms soetused, mis võimaldavad kala kvaliteedi säilimist ja tõstmist.</w:t>
      </w:r>
    </w:p>
    <w:p w14:paraId="4F1E747A"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 xml:space="preserve">Kala kvaliteedi tagamine k.a. kala ja kalalaeva  transportimisega seotud soetused- </w:t>
      </w:r>
      <w:proofErr w:type="spellStart"/>
      <w:r w:rsidRPr="00E3093D">
        <w:rPr>
          <w:rFonts w:ascii="Times New Roman" w:eastAsia="Times New Roman" w:hAnsi="Times New Roman" w:cs="Times New Roman"/>
        </w:rPr>
        <w:t>ATVd</w:t>
      </w:r>
      <w:proofErr w:type="spellEnd"/>
      <w:r w:rsidRPr="00E3093D">
        <w:rPr>
          <w:rFonts w:ascii="Times New Roman" w:eastAsia="Times New Roman" w:hAnsi="Times New Roman" w:cs="Times New Roman"/>
        </w:rPr>
        <w:t xml:space="preserve">, lumesaanid, hõljukid, jäämasinad, paadikärud koos vintsidega, võrgu rakendusmasinad (võrkude </w:t>
      </w:r>
      <w:proofErr w:type="spellStart"/>
      <w:r w:rsidRPr="00E3093D">
        <w:rPr>
          <w:rFonts w:ascii="Times New Roman" w:eastAsia="Times New Roman" w:hAnsi="Times New Roman" w:cs="Times New Roman"/>
        </w:rPr>
        <w:t>veeskamist</w:t>
      </w:r>
      <w:proofErr w:type="spellEnd"/>
      <w:r w:rsidRPr="00E3093D">
        <w:rPr>
          <w:rFonts w:ascii="Times New Roman" w:eastAsia="Times New Roman" w:hAnsi="Times New Roman" w:cs="Times New Roman"/>
        </w:rPr>
        <w:t xml:space="preserve"> ja nõudmist abistavad seadmed) jms.</w:t>
      </w:r>
    </w:p>
    <w:p w14:paraId="5E675A50"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 xml:space="preserve">Keskkonnasõbralike energialahenduste kasutuselevõtmine ja kohaliku vähekasutatud meretoorme (vetikad, pilliroog jms ) </w:t>
      </w:r>
      <w:proofErr w:type="spellStart"/>
      <w:r w:rsidRPr="00E3093D">
        <w:rPr>
          <w:rFonts w:ascii="Times New Roman" w:eastAsia="Times New Roman" w:hAnsi="Times New Roman" w:cs="Times New Roman"/>
        </w:rPr>
        <w:t>väärindamine</w:t>
      </w:r>
      <w:proofErr w:type="spellEnd"/>
      <w:r w:rsidRPr="00E3093D">
        <w:rPr>
          <w:rFonts w:ascii="Times New Roman" w:eastAsia="Times New Roman" w:hAnsi="Times New Roman" w:cs="Times New Roman"/>
        </w:rPr>
        <w:t xml:space="preserve"> - taastuvenergia seadmete soetamine (päikesepaneelid, tuulegeneraatorid jms). </w:t>
      </w:r>
      <w:r w:rsidRPr="00E3093D">
        <w:rPr>
          <w:rFonts w:ascii="Times New Roman" w:eastAsia="Times New Roman" w:hAnsi="Times New Roman" w:cs="Times New Roman"/>
          <w:bCs/>
          <w:i/>
          <w:iCs/>
        </w:rPr>
        <w:t xml:space="preserve">Päikeseenergia kasutuselevõtmisega seotud </w:t>
      </w:r>
      <w:r w:rsidRPr="00E3093D">
        <w:rPr>
          <w:rFonts w:ascii="Times New Roman" w:eastAsia="Times New Roman" w:hAnsi="Times New Roman" w:cs="Times New Roman"/>
          <w:bCs/>
          <w:i/>
          <w:iCs/>
        </w:rPr>
        <w:lastRenderedPageBreak/>
        <w:t>tegevuse elluviimisel on projektitoetuse maksimaalne määr 50 % toetatava tegevuse abikõlblikest kuludest.</w:t>
      </w:r>
      <w:r>
        <w:rPr>
          <w:rStyle w:val="Allmrkuseviide"/>
          <w:rFonts w:ascii="Times New Roman" w:eastAsia="Times New Roman" w:hAnsi="Times New Roman" w:cs="Times New Roman"/>
          <w:bCs/>
          <w:i/>
          <w:iCs/>
        </w:rPr>
        <w:footnoteReference w:id="60"/>
      </w:r>
    </w:p>
    <w:p w14:paraId="3E00A1C7" w14:textId="77777777" w:rsidR="008312AA" w:rsidRPr="00E3093D" w:rsidRDefault="00000000" w:rsidP="00E3093D">
      <w:pPr>
        <w:pStyle w:val="Loendilik"/>
        <w:numPr>
          <w:ilvl w:val="0"/>
          <w:numId w:val="35"/>
        </w:numPr>
        <w:spacing w:line="276" w:lineRule="auto"/>
        <w:rPr>
          <w:rFonts w:ascii="Times New Roman" w:eastAsia="Times New Roman" w:hAnsi="Times New Roman" w:cs="Times New Roman"/>
        </w:rPr>
      </w:pPr>
      <w:r w:rsidRPr="00E3093D">
        <w:rPr>
          <w:rFonts w:ascii="Times New Roman" w:eastAsia="Times New Roman" w:hAnsi="Times New Roman" w:cs="Times New Roman"/>
        </w:rPr>
        <w:t>Kalandusettevõtte turvalisuse tagamine - videovalve süsteemid, välisvalgustus jms.</w:t>
      </w:r>
    </w:p>
    <w:p w14:paraId="394B2CA8"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Teave toetuse saaja ja projektitoetuse maksimaalsete määrade kohta on leitav määrusest „Perioodi 2021-2027 kogukonna juhitud kohaliku arengu strateegia.“ </w:t>
      </w:r>
    </w:p>
    <w:p w14:paraId="13FCE8F3" w14:textId="77777777" w:rsidR="008312AA" w:rsidRDefault="008312AA">
      <w:pPr>
        <w:pStyle w:val="Pealkiri2"/>
        <w:spacing w:line="276" w:lineRule="auto"/>
        <w:ind w:left="0" w:firstLine="0"/>
        <w:rPr>
          <w:rFonts w:ascii="Times New Roman" w:eastAsia="Times New Roman" w:hAnsi="Times New Roman" w:cs="Times New Roman"/>
          <w:b/>
          <w:bCs/>
          <w:color w:val="7030A0"/>
          <w:sz w:val="28"/>
          <w:szCs w:val="28"/>
        </w:rPr>
      </w:pPr>
    </w:p>
    <w:p w14:paraId="6881636E" w14:textId="77777777" w:rsidR="008312AA" w:rsidRDefault="00000000">
      <w:pPr>
        <w:pStyle w:val="Pealkiri2"/>
        <w:spacing w:line="276" w:lineRule="auto"/>
        <w:ind w:left="0" w:firstLine="0"/>
        <w:jc w:val="left"/>
        <w:rPr>
          <w:rFonts w:ascii="Times New Roman" w:eastAsia="Times New Roman" w:hAnsi="Times New Roman" w:cs="Times New Roman"/>
          <w:color w:val="7030A0"/>
          <w:sz w:val="28"/>
          <w:szCs w:val="28"/>
        </w:rPr>
      </w:pPr>
      <w:bookmarkStart w:id="54" w:name="_Toc157420959"/>
      <w:r>
        <w:rPr>
          <w:rFonts w:ascii="Times New Roman" w:eastAsia="Times New Roman" w:hAnsi="Times New Roman" w:cs="Times New Roman"/>
          <w:color w:val="7030A0"/>
          <w:sz w:val="28"/>
          <w:szCs w:val="28"/>
        </w:rPr>
        <w:t>4.2. Tegevussuund 2: Sadamate taristu parendamine ja pakutavate teenuste mitmekesistamine</w:t>
      </w:r>
      <w:bookmarkEnd w:id="54"/>
    </w:p>
    <w:p w14:paraId="46D052CB"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7C084A15" w14:textId="77777777">
        <w:tc>
          <w:tcPr>
            <w:tcW w:w="9062" w:type="dxa"/>
            <w:shd w:val="clear" w:color="auto" w:fill="C2F2F8"/>
          </w:tcPr>
          <w:p w14:paraId="41051BC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Rakendamise põhjendus: </w:t>
            </w:r>
            <w:r>
              <w:rPr>
                <w:rFonts w:ascii="Times New Roman" w:eastAsia="Times New Roman" w:hAnsi="Times New Roman" w:cs="Times New Roman"/>
              </w:rPr>
              <w:t xml:space="preserve"> Jätkusuutlik kalasadam peab olema suuteline end ise ära majandama, seetõttu on oluline toetada investeeringuid tegevustesse, mis sellele kaasa aitavad.</w:t>
            </w:r>
          </w:p>
        </w:tc>
      </w:tr>
    </w:tbl>
    <w:p w14:paraId="650EF3D3"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44E4834E" w14:textId="77777777">
        <w:tc>
          <w:tcPr>
            <w:tcW w:w="9062" w:type="dxa"/>
            <w:shd w:val="clear" w:color="auto" w:fill="FFCCCC"/>
          </w:tcPr>
          <w:p w14:paraId="09ACCA96" w14:textId="77777777" w:rsidR="008312AA" w:rsidRDefault="00000000">
            <w:pPr>
              <w:spacing w:line="276" w:lineRule="auto"/>
              <w:ind w:left="360"/>
              <w:rPr>
                <w:rFonts w:ascii="Times New Roman" w:eastAsia="Times New Roman" w:hAnsi="Times New Roman" w:cs="Times New Roman"/>
              </w:rPr>
            </w:pPr>
            <w:r>
              <w:rPr>
                <w:rFonts w:ascii="Times New Roman" w:eastAsia="Times New Roman" w:hAnsi="Times New Roman" w:cs="Times New Roman"/>
                <w:b/>
              </w:rPr>
              <w:t>Eesmärk:</w:t>
            </w:r>
            <w:r>
              <w:rPr>
                <w:rFonts w:ascii="Times New Roman" w:eastAsia="Times New Roman" w:hAnsi="Times New Roman" w:cs="Times New Roman"/>
              </w:rPr>
              <w:t xml:space="preserve"> Saaremaa rannikujoonel on optimaalse arvu ja tihedusega kalasadamad, kus on mitmekesised teenused nii kaluritele kui külastajatele, mis aitavad sadamal end ise ära majandada.</w:t>
            </w:r>
          </w:p>
        </w:tc>
      </w:tr>
    </w:tbl>
    <w:p w14:paraId="0D8E24A0" w14:textId="77777777" w:rsidR="008312AA" w:rsidRDefault="008312AA">
      <w:pPr>
        <w:spacing w:line="276" w:lineRule="auto"/>
        <w:rPr>
          <w:rFonts w:ascii="Times New Roman" w:eastAsia="Times New Roman" w:hAnsi="Times New Roman" w:cs="Times New Roman"/>
          <w:b/>
        </w:rPr>
      </w:pPr>
    </w:p>
    <w:tbl>
      <w:tblPr>
        <w:tblW w:w="9060" w:type="dxa"/>
        <w:tblInd w:w="-100" w:type="dxa"/>
        <w:tblLayout w:type="fixed"/>
        <w:tblCellMar>
          <w:top w:w="100" w:type="dxa"/>
          <w:left w:w="100" w:type="dxa"/>
          <w:bottom w:w="100" w:type="dxa"/>
          <w:right w:w="100" w:type="dxa"/>
        </w:tblCellMar>
        <w:tblLook w:val="0600" w:firstRow="0" w:lastRow="0" w:firstColumn="0" w:lastColumn="0" w:noHBand="1" w:noVBand="1"/>
      </w:tblPr>
      <w:tblGrid>
        <w:gridCol w:w="3209"/>
        <w:gridCol w:w="3121"/>
        <w:gridCol w:w="2730"/>
      </w:tblGrid>
      <w:tr w:rsidR="008312AA" w14:paraId="05BD326A" w14:textId="77777777">
        <w:trPr>
          <w:trHeight w:val="620"/>
        </w:trPr>
        <w:tc>
          <w:tcPr>
            <w:tcW w:w="3209" w:type="dxa"/>
            <w:tcBorders>
              <w:top w:val="single" w:sz="8" w:space="0" w:color="000000"/>
              <w:left w:val="single" w:sz="8" w:space="0" w:color="000000"/>
              <w:bottom w:val="single" w:sz="8" w:space="0" w:color="000000"/>
              <w:right w:val="single" w:sz="8" w:space="0" w:color="000000"/>
            </w:tcBorders>
            <w:shd w:val="clear" w:color="auto" w:fill="C2F2F8"/>
          </w:tcPr>
          <w:p w14:paraId="211FC713"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3121" w:type="dxa"/>
            <w:tcBorders>
              <w:top w:val="single" w:sz="8" w:space="0" w:color="000000"/>
              <w:bottom w:val="single" w:sz="8" w:space="0" w:color="000000"/>
              <w:right w:val="single" w:sz="8" w:space="0" w:color="000000"/>
            </w:tcBorders>
            <w:shd w:val="clear" w:color="auto" w:fill="C2F2F8"/>
          </w:tcPr>
          <w:p w14:paraId="5B24D92D"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2027</w:t>
            </w:r>
          </w:p>
        </w:tc>
        <w:tc>
          <w:tcPr>
            <w:tcW w:w="2730" w:type="dxa"/>
            <w:tcBorders>
              <w:top w:val="single" w:sz="8" w:space="0" w:color="000000"/>
              <w:bottom w:val="single" w:sz="8" w:space="0" w:color="000000"/>
              <w:right w:val="single" w:sz="8" w:space="0" w:color="000000"/>
            </w:tcBorders>
            <w:shd w:val="clear" w:color="auto" w:fill="C2F2F8"/>
          </w:tcPr>
          <w:p w14:paraId="2FAC72CF"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2027</w:t>
            </w:r>
          </w:p>
        </w:tc>
      </w:tr>
      <w:tr w:rsidR="008312AA" w14:paraId="6DD8EB92" w14:textId="77777777">
        <w:trPr>
          <w:trHeight w:val="620"/>
        </w:trPr>
        <w:tc>
          <w:tcPr>
            <w:tcW w:w="3209" w:type="dxa"/>
            <w:tcBorders>
              <w:left w:val="single" w:sz="8" w:space="0" w:color="000000"/>
              <w:bottom w:val="single" w:sz="8" w:space="0" w:color="000000"/>
              <w:right w:val="single" w:sz="8" w:space="0" w:color="000000"/>
            </w:tcBorders>
          </w:tcPr>
          <w:p w14:paraId="4643BD5C" w14:textId="77777777" w:rsidR="008312AA" w:rsidRDefault="008312AA">
            <w:pPr>
              <w:spacing w:before="300" w:line="276" w:lineRule="auto"/>
              <w:jc w:val="left"/>
              <w:rPr>
                <w:rFonts w:ascii="Times New Roman" w:eastAsia="Times New Roman" w:hAnsi="Times New Roman" w:cs="Times New Roman"/>
              </w:rPr>
            </w:pPr>
          </w:p>
          <w:p w14:paraId="2FC45CBF" w14:textId="77777777" w:rsidR="008312AA" w:rsidRDefault="008312AA">
            <w:pPr>
              <w:spacing w:before="300" w:line="276" w:lineRule="auto"/>
              <w:jc w:val="left"/>
              <w:rPr>
                <w:rFonts w:ascii="Times New Roman" w:eastAsia="Times New Roman" w:hAnsi="Times New Roman" w:cs="Times New Roman"/>
              </w:rPr>
            </w:pPr>
          </w:p>
          <w:p w14:paraId="1B26DB90"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Sadamate taristu parendamine ja pakutavate teenuste mitmekesistamine </w:t>
            </w:r>
          </w:p>
          <w:p w14:paraId="3CC1E46D" w14:textId="77777777" w:rsidR="008312AA" w:rsidRDefault="008312AA">
            <w:pPr>
              <w:spacing w:before="300" w:line="276" w:lineRule="auto"/>
              <w:jc w:val="left"/>
              <w:rPr>
                <w:rFonts w:ascii="Times New Roman" w:eastAsia="Times New Roman" w:hAnsi="Times New Roman" w:cs="Times New Roman"/>
              </w:rPr>
            </w:pPr>
          </w:p>
          <w:p w14:paraId="7564FD8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Keskkonnasäästlike (taastuv)energia lahenduste kasutusele võtmine</w:t>
            </w:r>
          </w:p>
        </w:tc>
        <w:tc>
          <w:tcPr>
            <w:tcW w:w="3121" w:type="dxa"/>
            <w:tcBorders>
              <w:bottom w:val="single" w:sz="8" w:space="0" w:color="000000"/>
              <w:right w:val="single" w:sz="8" w:space="0" w:color="000000"/>
            </w:tcBorders>
          </w:tcPr>
          <w:p w14:paraId="3E5E9B9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Tegevuste mitmekesistamiseks toetust saanud sadamate sissetuleku suurenemine (siht: olenevalt investeeringust, kasv vähemalt 15% kaks aastat peale projekti lõppu). Uute/parendatud teenuste arv (siht: 10)</w:t>
            </w:r>
          </w:p>
          <w:p w14:paraId="4E834286"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Kasutusele võetud kW-d</w:t>
            </w:r>
          </w:p>
        </w:tc>
        <w:tc>
          <w:tcPr>
            <w:tcW w:w="2730" w:type="dxa"/>
            <w:tcBorders>
              <w:bottom w:val="single" w:sz="8" w:space="0" w:color="000000"/>
              <w:right w:val="single" w:sz="8" w:space="0" w:color="000000"/>
            </w:tcBorders>
          </w:tcPr>
          <w:p w14:paraId="1C9BECA4"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Toetust saanud sadamate arv </w:t>
            </w:r>
          </w:p>
          <w:p w14:paraId="24D220E1" w14:textId="77777777" w:rsidR="008312AA" w:rsidRDefault="008312AA">
            <w:pPr>
              <w:spacing w:before="300" w:line="276" w:lineRule="auto"/>
              <w:jc w:val="left"/>
              <w:rPr>
                <w:rFonts w:ascii="Times New Roman" w:eastAsia="Times New Roman" w:hAnsi="Times New Roman" w:cs="Times New Roman"/>
              </w:rPr>
            </w:pPr>
          </w:p>
          <w:p w14:paraId="2C440E4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Sadamateenuste </w:t>
            </w:r>
            <w:proofErr w:type="spellStart"/>
            <w:r>
              <w:rPr>
                <w:rFonts w:ascii="Times New Roman" w:eastAsia="Times New Roman" w:hAnsi="Times New Roman" w:cs="Times New Roman"/>
              </w:rPr>
              <w:t>mitmekesitamise</w:t>
            </w:r>
            <w:proofErr w:type="spellEnd"/>
            <w:r>
              <w:rPr>
                <w:rFonts w:ascii="Times New Roman" w:eastAsia="Times New Roman" w:hAnsi="Times New Roman" w:cs="Times New Roman"/>
              </w:rPr>
              <w:t xml:space="preserve"> projektide arv sh taastuvenergia lahendused</w:t>
            </w:r>
          </w:p>
          <w:p w14:paraId="49E4E95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 </w:t>
            </w:r>
          </w:p>
        </w:tc>
      </w:tr>
    </w:tbl>
    <w:p w14:paraId="27ED05BA" w14:textId="77777777" w:rsidR="009573CA" w:rsidRDefault="009573CA">
      <w:pPr>
        <w:spacing w:line="276" w:lineRule="auto"/>
        <w:rPr>
          <w:rFonts w:ascii="Times New Roman" w:eastAsia="Times New Roman" w:hAnsi="Times New Roman" w:cs="Times New Roman"/>
          <w:b/>
        </w:rPr>
      </w:pPr>
      <w:bookmarkStart w:id="55" w:name="_heading=h.1q8zl3q1km92"/>
      <w:bookmarkEnd w:id="55"/>
    </w:p>
    <w:p w14:paraId="5E8715CD" w14:textId="627E721F"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b/>
        </w:rPr>
        <w:t xml:space="preserve">Toetatavad tegevused: </w:t>
      </w:r>
      <w:r>
        <w:rPr>
          <w:rFonts w:ascii="Times New Roman" w:eastAsia="Times New Roman" w:hAnsi="Times New Roman" w:cs="Times New Roman"/>
        </w:rPr>
        <w:t xml:space="preserve">tegevussuuna alt toetatakse investeeringuid, mis mitmekesistavad kalasadamates pakutavaid teenuseid, pakuvad kaluritele kala lossimise ja hoiustamise teenuseid </w:t>
      </w:r>
      <w:r>
        <w:rPr>
          <w:rFonts w:ascii="Times New Roman" w:eastAsia="Times New Roman" w:hAnsi="Times New Roman" w:cs="Times New Roman"/>
        </w:rPr>
        <w:lastRenderedPageBreak/>
        <w:t xml:space="preserve">ning võimaldavad sadamates hoida kalapüügialuseid. Investeeringute toetamine, mis keskenduvad mere ja tööohutusele väikesadamates ja vähendavad ekstreemsetest ilmastikuoludest tulenevaid kahjustusi sadamataristule. </w:t>
      </w:r>
    </w:p>
    <w:p w14:paraId="7F5C51F4"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Toetatavate tegevuste kirjeldus täpsemalt:</w:t>
      </w:r>
    </w:p>
    <w:p w14:paraId="13C100D8" w14:textId="77777777" w:rsidR="008312AA" w:rsidRPr="009573CA" w:rsidRDefault="00000000" w:rsidP="009573CA">
      <w:pPr>
        <w:pStyle w:val="Loendilik"/>
        <w:numPr>
          <w:ilvl w:val="0"/>
          <w:numId w:val="34"/>
        </w:numPr>
        <w:spacing w:line="276" w:lineRule="auto"/>
        <w:rPr>
          <w:rFonts w:ascii="Times New Roman" w:eastAsia="Times New Roman" w:hAnsi="Times New Roman" w:cs="Times New Roman"/>
        </w:rPr>
      </w:pPr>
      <w:r w:rsidRPr="009573CA">
        <w:rPr>
          <w:rFonts w:ascii="Times New Roman" w:eastAsia="Times New Roman" w:hAnsi="Times New Roman" w:cs="Times New Roman"/>
        </w:rPr>
        <w:t xml:space="preserve">Optimaalse arvu ja tihedusega kalasadamate väljaarendamine – ujuvkaid, parklad, videovalve, reovee puhasti, navigatsioonimärgistus, joogivesi, valgustus, kaitsemuulid, </w:t>
      </w:r>
      <w:proofErr w:type="spellStart"/>
      <w:r w:rsidRPr="009573CA">
        <w:rPr>
          <w:rFonts w:ascii="Times New Roman" w:eastAsia="Times New Roman" w:hAnsi="Times New Roman" w:cs="Times New Roman"/>
        </w:rPr>
        <w:t>slipid</w:t>
      </w:r>
      <w:proofErr w:type="spellEnd"/>
      <w:r w:rsidRPr="009573CA">
        <w:rPr>
          <w:rFonts w:ascii="Times New Roman" w:eastAsia="Times New Roman" w:hAnsi="Times New Roman" w:cs="Times New Roman"/>
        </w:rPr>
        <w:t>, jäämasinad, jäätmemajandus, kalurite olmehooned, pesemisvõimalused, WC-d, seadmete hoiustamise võimaluste parendamine, püügivahendite hoiustamise parendamine, tõsteseadmed, reostustõrje vahendid, sadamatesse juurdepääsuteed jms.</w:t>
      </w:r>
    </w:p>
    <w:p w14:paraId="6E4A140A" w14:textId="77777777" w:rsidR="008312AA" w:rsidRPr="009573CA" w:rsidRDefault="00000000" w:rsidP="009573CA">
      <w:pPr>
        <w:pStyle w:val="Loendilik"/>
        <w:numPr>
          <w:ilvl w:val="0"/>
          <w:numId w:val="34"/>
        </w:numPr>
        <w:spacing w:before="240" w:after="240" w:line="276" w:lineRule="auto"/>
        <w:rPr>
          <w:rFonts w:ascii="Times New Roman" w:eastAsia="Times New Roman" w:hAnsi="Times New Roman" w:cs="Times New Roman"/>
        </w:rPr>
      </w:pPr>
      <w:r w:rsidRPr="009573CA">
        <w:rPr>
          <w:rFonts w:ascii="Times New Roman" w:eastAsia="Times New Roman" w:hAnsi="Times New Roman" w:cs="Times New Roman"/>
        </w:rPr>
        <w:t>Sadama tugitaristu väljaarendamine - mõrra- ja võrgukuurid, paadikuurid talvehoiuks ja paadiremondiks, paviljon värske kala ja kalatoodete sh kohaliku käsitöö jne müügiks, grillmaja, sadamaga piirnevatel aladel rekreatsioonialade rajamine, karavaniparkla, internet, kohalik sadamaturg kala ja kalatoodete müügiks, muud tasulised teenused, mis aitavad sadama haldajatel katta sadama ülalpidamisega seotud kulusid näiteks erinevaid meelelahutuse ja sportimise võimalusi pakkuvad teenused sadamas.</w:t>
      </w:r>
    </w:p>
    <w:p w14:paraId="2AEFBEF7" w14:textId="77777777" w:rsidR="008312AA" w:rsidRPr="009573CA" w:rsidRDefault="00000000" w:rsidP="009573CA">
      <w:pPr>
        <w:pStyle w:val="Loendilik"/>
        <w:numPr>
          <w:ilvl w:val="0"/>
          <w:numId w:val="34"/>
        </w:numPr>
        <w:spacing w:before="240" w:after="240" w:line="276" w:lineRule="auto"/>
        <w:rPr>
          <w:rFonts w:ascii="Times New Roman" w:eastAsia="Times New Roman" w:hAnsi="Times New Roman" w:cs="Times New Roman"/>
        </w:rPr>
      </w:pPr>
      <w:r w:rsidRPr="009573CA">
        <w:rPr>
          <w:rFonts w:ascii="Times New Roman" w:eastAsia="Times New Roman" w:hAnsi="Times New Roman" w:cs="Times New Roman"/>
        </w:rPr>
        <w:t xml:space="preserve">Keskkonnasõbralike energialahenduste väljaarendamine - taastuvenergia seadmete soetamine (päikesepaneelid/jaamad, tuulegeneraatorid). </w:t>
      </w:r>
      <w:r w:rsidRPr="009573CA">
        <w:rPr>
          <w:rFonts w:ascii="Times New Roman" w:eastAsia="Times New Roman" w:hAnsi="Times New Roman" w:cs="Times New Roman"/>
          <w:i/>
          <w:iCs/>
        </w:rPr>
        <w:t>Päikeseenergia kasutuselevõtmisega seotud tegevuse elluviimisel on projektitoetuse maksimaalne määr 50 % toetatava tegevuse abikõlblikest kuludest.</w:t>
      </w:r>
      <w:r>
        <w:rPr>
          <w:rStyle w:val="Allmrkuseviide"/>
          <w:rFonts w:ascii="Times New Roman" w:eastAsia="Times New Roman" w:hAnsi="Times New Roman" w:cs="Times New Roman"/>
          <w:i/>
          <w:iCs/>
        </w:rPr>
        <w:footnoteReference w:id="61"/>
      </w:r>
    </w:p>
    <w:p w14:paraId="4A7DE2F8" w14:textId="77777777" w:rsidR="008312AA" w:rsidRPr="009573CA" w:rsidRDefault="00000000" w:rsidP="009573CA">
      <w:pPr>
        <w:pStyle w:val="Loendilik"/>
        <w:numPr>
          <w:ilvl w:val="0"/>
          <w:numId w:val="34"/>
        </w:numPr>
        <w:spacing w:before="240" w:after="240" w:line="276" w:lineRule="auto"/>
        <w:rPr>
          <w:rFonts w:ascii="Times New Roman" w:eastAsia="Times New Roman" w:hAnsi="Times New Roman" w:cs="Times New Roman"/>
        </w:rPr>
      </w:pPr>
      <w:r w:rsidRPr="009573CA">
        <w:rPr>
          <w:rFonts w:ascii="Times New Roman" w:eastAsia="Times New Roman" w:hAnsi="Times New Roman" w:cs="Times New Roman"/>
        </w:rPr>
        <w:t>Turvalisuse tagamine - videovalve süsteemid, välisvalgustus.</w:t>
      </w:r>
    </w:p>
    <w:p w14:paraId="5A792ABF"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Ettevõtluskeskkonna mitmekesistamine sadamas sh erinevate  </w:t>
      </w:r>
      <w:proofErr w:type="spellStart"/>
      <w:r>
        <w:rPr>
          <w:rFonts w:ascii="Times New Roman" w:eastAsia="Times New Roman" w:hAnsi="Times New Roman" w:cs="Times New Roman"/>
        </w:rPr>
        <w:t>sinimajanduslike</w:t>
      </w:r>
      <w:proofErr w:type="spellEnd"/>
      <w:r>
        <w:rPr>
          <w:rFonts w:ascii="Times New Roman" w:eastAsia="Times New Roman" w:hAnsi="Times New Roman" w:cs="Times New Roman"/>
        </w:rPr>
        <w:t xml:space="preserve"> lahenduste kasutuselevõtmine </w:t>
      </w:r>
      <w:proofErr w:type="spellStart"/>
      <w:r>
        <w:rPr>
          <w:rFonts w:ascii="Times New Roman" w:eastAsia="Times New Roman" w:hAnsi="Times New Roman" w:cs="Times New Roman"/>
        </w:rPr>
        <w:t>sinimajanduse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definatsiooni</w:t>
      </w:r>
      <w:proofErr w:type="spellEnd"/>
      <w:r>
        <w:rPr>
          <w:rFonts w:ascii="Times New Roman" w:eastAsia="Times New Roman" w:hAnsi="Times New Roman" w:cs="Times New Roman"/>
        </w:rPr>
        <w:t xml:space="preserve"> tõlgendamise kontekstis.</w:t>
      </w:r>
    </w:p>
    <w:p w14:paraId="7569B561"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 xml:space="preserve">Turismiteenuste arendamine - turismi arendus (matkaautode vastuvõtu taristu) kämpingumajad, väljaspool kalapüügihooaega teenuste arendamine näiteks sadamahoones erinevate teenuste pakkumine, ruumide rent,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traditsioone tutvustavad sündmused, näitused, püsiekspositsioonid, rändnäitused, mängutoad. Vajalik inventar turismiteenuse osutamiseks. Mere- ja loodusturismi arendamiseks vajalikud vahendid. Sadamakohviku väljaarendamiseks vajalike vahendite soetamine.</w:t>
      </w:r>
    </w:p>
    <w:p w14:paraId="73603BD4"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Teave toetuse saaja ja projektitoetuse maksimaalsete määrade kohta on leitav määrusest „Perioodi 2021-2027 kogukonna juhitud kohaliku arengu strateegia.“ </w:t>
      </w:r>
    </w:p>
    <w:p w14:paraId="4DE41BF1" w14:textId="77777777" w:rsidR="008312AA" w:rsidRDefault="008312AA">
      <w:pPr>
        <w:spacing w:line="276" w:lineRule="auto"/>
        <w:rPr>
          <w:rFonts w:ascii="Times New Roman" w:eastAsia="Times New Roman" w:hAnsi="Times New Roman" w:cs="Times New Roman"/>
          <w:i/>
          <w:iCs/>
        </w:rPr>
      </w:pPr>
    </w:p>
    <w:p w14:paraId="4310C3FE" w14:textId="77777777" w:rsidR="008312AA" w:rsidRPr="009573CA" w:rsidRDefault="00000000">
      <w:pPr>
        <w:pStyle w:val="Pealkiri3"/>
        <w:spacing w:line="276" w:lineRule="auto"/>
        <w:ind w:left="0" w:firstLine="0"/>
        <w:rPr>
          <w:rFonts w:ascii="Times New Roman" w:hAnsi="Times New Roman" w:cs="Times New Roman"/>
          <w:color w:val="0E5C04"/>
        </w:rPr>
      </w:pPr>
      <w:bookmarkStart w:id="56" w:name="_heading=h.vf7zcx9pempr"/>
      <w:bookmarkStart w:id="57" w:name="_Toc156200683"/>
      <w:bookmarkStart w:id="58" w:name="_Toc157420960"/>
      <w:bookmarkEnd w:id="56"/>
      <w:r w:rsidRPr="009573CA">
        <w:rPr>
          <w:rFonts w:ascii="Times New Roman" w:hAnsi="Times New Roman" w:cs="Times New Roman"/>
          <w:color w:val="0E5C04"/>
        </w:rPr>
        <w:t>4.2.1. Strateegiasse lisatavate sadamate analüüs ja sadamate nimistu koostamine</w:t>
      </w:r>
      <w:bookmarkEnd w:id="57"/>
      <w:bookmarkEnd w:id="58"/>
    </w:p>
    <w:p w14:paraId="753BC023" w14:textId="77777777" w:rsidR="008312AA" w:rsidRDefault="00000000">
      <w:pPr>
        <w:spacing w:line="276" w:lineRule="auto"/>
        <w:rPr>
          <w:rFonts w:ascii="Times New Roman" w:hAnsi="Times New Roman" w:cs="Times New Roman"/>
        </w:rPr>
      </w:pPr>
      <w:r>
        <w:rPr>
          <w:rFonts w:ascii="Times New Roman" w:hAnsi="Times New Roman" w:cs="Times New Roman"/>
        </w:rPr>
        <w:t>Strateegia sadamate nimistusse lisatavate sadamate valikul peeti vajalikuks arendada eelkõige neid kalasadamaid, kus on olemas piisav jätkusuutlikkus kalapüügi- ja investeerimisvõimekuse näol. Kus on olemas tugitaristu ja looduslikud eeldused.</w:t>
      </w:r>
    </w:p>
    <w:p w14:paraId="1046E8E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Kalasadamate strateegiasse arvamise puhul peeti silmas ka järgmiseid asjaolusid:</w:t>
      </w:r>
    </w:p>
    <w:p w14:paraId="0B613525" w14:textId="77777777" w:rsidR="008312AA" w:rsidRDefault="00000000">
      <w:pPr>
        <w:pStyle w:val="Loendilik"/>
        <w:numPr>
          <w:ilvl w:val="0"/>
          <w:numId w:val="24"/>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analüüsiti lossimiskoguseid sadamas ning sadamat kasutavate kaluri kalapüügiloa omanike arvu;</w:t>
      </w:r>
    </w:p>
    <w:p w14:paraId="2B407667" w14:textId="77777777" w:rsidR="008312AA" w:rsidRDefault="00000000">
      <w:pPr>
        <w:pStyle w:val="Loendilik"/>
        <w:numPr>
          <w:ilvl w:val="0"/>
          <w:numId w:val="24"/>
        </w:numPr>
        <w:spacing w:line="276" w:lineRule="auto"/>
        <w:rPr>
          <w:rFonts w:ascii="Times New Roman" w:eastAsia="Times New Roman" w:hAnsi="Times New Roman" w:cs="Times New Roman"/>
          <w:iCs/>
        </w:rPr>
      </w:pPr>
      <w:r>
        <w:rPr>
          <w:rFonts w:ascii="Times New Roman" w:eastAsia="Times New Roman" w:hAnsi="Times New Roman" w:cs="Times New Roman"/>
          <w:iCs/>
        </w:rPr>
        <w:t>analüüsiti kalurite ja muude sadamat kasutavate isikute suhet;</w:t>
      </w:r>
    </w:p>
    <w:p w14:paraId="630B1C77" w14:textId="77777777" w:rsidR="008312AA" w:rsidRDefault="00000000">
      <w:pPr>
        <w:pStyle w:val="Loendilik"/>
        <w:numPr>
          <w:ilvl w:val="0"/>
          <w:numId w:val="24"/>
        </w:numPr>
        <w:spacing w:line="276" w:lineRule="auto"/>
        <w:rPr>
          <w:rFonts w:ascii="Times New Roman" w:eastAsia="Times New Roman" w:hAnsi="Times New Roman" w:cs="Times New Roman"/>
          <w:iCs/>
        </w:rPr>
      </w:pPr>
      <w:r>
        <w:rPr>
          <w:rFonts w:ascii="Times New Roman" w:eastAsia="Times New Roman" w:hAnsi="Times New Roman" w:cs="Times New Roman"/>
          <w:iCs/>
        </w:rPr>
        <w:t>analüüsiti sadamate geograafilist paiknemist piirkonnas, looduslikke tingimusi ja sadama ümbruse püügipiirkondi;</w:t>
      </w:r>
    </w:p>
    <w:p w14:paraId="3C4FF346" w14:textId="77777777" w:rsidR="008312AA" w:rsidRDefault="00000000">
      <w:pPr>
        <w:pStyle w:val="Loendilik"/>
        <w:numPr>
          <w:ilvl w:val="0"/>
          <w:numId w:val="24"/>
        </w:numPr>
        <w:spacing w:line="276" w:lineRule="auto"/>
        <w:rPr>
          <w:rFonts w:ascii="Times New Roman" w:eastAsia="Times New Roman" w:hAnsi="Times New Roman" w:cs="Times New Roman"/>
          <w:iCs/>
        </w:rPr>
      </w:pPr>
      <w:r>
        <w:rPr>
          <w:rFonts w:ascii="Times New Roman" w:eastAsia="Times New Roman" w:hAnsi="Times New Roman" w:cs="Times New Roman"/>
          <w:iCs/>
        </w:rPr>
        <w:t>analüüsiti sadamas eelnevalt tehtud investeeringuid ja investeeringute vajadust tulevikus</w:t>
      </w:r>
    </w:p>
    <w:p w14:paraId="6234897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Saaremaa kalanduspiirkonna ajalooliseks eripäraks on sadamate rohkus rannajoonel, mis tähendab, et püügile minnakse sellest sadamast, kus piirkonnas on parasjagu kala ehk sellest sõltub ka lossimiste arv sadamas. </w:t>
      </w:r>
    </w:p>
    <w:p w14:paraId="148972B2" w14:textId="77777777" w:rsidR="008312AA"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Saaremaa kalanduspiirkonnas on viis kalasadamat, mis tehtud analüüsidest tulenevalt vastavad EMKVF meetme „Perioodi 2021–2027 kogukonna juhitud kohaliku arengu toetus“ kalasadamatele esitatud nõuetele:</w:t>
      </w:r>
    </w:p>
    <w:p w14:paraId="7801C471" w14:textId="77777777" w:rsidR="008312AA" w:rsidRDefault="00000000">
      <w:pPr>
        <w:pStyle w:val="Loendilik"/>
        <w:numPr>
          <w:ilvl w:val="0"/>
          <w:numId w:val="25"/>
        </w:numPr>
        <w:spacing w:after="0" w:line="276" w:lineRule="auto"/>
        <w:rPr>
          <w:rFonts w:ascii="Times New Roman" w:eastAsia="Times New Roman" w:hAnsi="Times New Roman" w:cs="Times New Roman"/>
        </w:rPr>
      </w:pPr>
      <w:proofErr w:type="spellStart"/>
      <w:r>
        <w:rPr>
          <w:rFonts w:ascii="Times New Roman" w:eastAsia="Times New Roman" w:hAnsi="Times New Roman" w:cs="Times New Roman"/>
        </w:rPr>
        <w:t>Muratsi</w:t>
      </w:r>
      <w:proofErr w:type="spellEnd"/>
      <w:r>
        <w:rPr>
          <w:rFonts w:ascii="Times New Roman" w:eastAsia="Times New Roman" w:hAnsi="Times New Roman" w:cs="Times New Roman"/>
        </w:rPr>
        <w:t xml:space="preserve"> sadam</w:t>
      </w:r>
    </w:p>
    <w:p w14:paraId="76DA2293" w14:textId="77777777" w:rsidR="008312AA" w:rsidRDefault="00000000">
      <w:pPr>
        <w:pStyle w:val="Loendilik"/>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Nasva jõesadam</w:t>
      </w:r>
    </w:p>
    <w:p w14:paraId="296D679A" w14:textId="77777777" w:rsidR="008312AA" w:rsidRDefault="00000000">
      <w:pPr>
        <w:pStyle w:val="Loendilik"/>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Tori jõesadam</w:t>
      </w:r>
    </w:p>
    <w:p w14:paraId="652C3EB5" w14:textId="77777777" w:rsidR="008312AA" w:rsidRDefault="00000000">
      <w:pPr>
        <w:pStyle w:val="Loendilik"/>
        <w:numPr>
          <w:ilvl w:val="0"/>
          <w:numId w:val="25"/>
        </w:numPr>
        <w:spacing w:after="0" w:line="276" w:lineRule="auto"/>
        <w:rPr>
          <w:rFonts w:ascii="Times New Roman" w:eastAsia="Times New Roman" w:hAnsi="Times New Roman" w:cs="Times New Roman"/>
        </w:rPr>
      </w:pPr>
      <w:r>
        <w:rPr>
          <w:rFonts w:ascii="Times New Roman" w:eastAsia="Times New Roman" w:hAnsi="Times New Roman" w:cs="Times New Roman"/>
        </w:rPr>
        <w:t>Turja sadam</w:t>
      </w:r>
    </w:p>
    <w:p w14:paraId="6D6E95B2" w14:textId="77777777" w:rsidR="008312AA" w:rsidRDefault="00000000">
      <w:pPr>
        <w:pStyle w:val="Loendilik"/>
        <w:numPr>
          <w:ilvl w:val="0"/>
          <w:numId w:val="25"/>
        </w:numPr>
        <w:spacing w:line="276" w:lineRule="auto"/>
        <w:rPr>
          <w:rFonts w:ascii="Times New Roman" w:eastAsia="Times New Roman" w:hAnsi="Times New Roman" w:cs="Times New Roman"/>
        </w:rPr>
      </w:pPr>
      <w:r>
        <w:rPr>
          <w:rFonts w:ascii="Times New Roman" w:eastAsia="Times New Roman" w:hAnsi="Times New Roman" w:cs="Times New Roman"/>
        </w:rPr>
        <w:t>Uisusadam</w:t>
      </w:r>
      <w:r>
        <w:rPr>
          <w:rStyle w:val="Allmrkuseviide"/>
          <w:rFonts w:ascii="Times New Roman" w:eastAsia="Times New Roman" w:hAnsi="Times New Roman" w:cs="Times New Roman"/>
        </w:rPr>
        <w:footnoteReference w:id="62"/>
      </w:r>
    </w:p>
    <w:p w14:paraId="4671B5B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Kui teiste piirkonnas tegutsevate kalasadamate lossimiskogused ja muud kutselise rannapüügiga seotud  näitajad paranevad </w:t>
      </w:r>
      <w:r>
        <w:rPr>
          <w:rFonts w:ascii="Times New Roman" w:eastAsia="Times New Roman" w:hAnsi="Times New Roman" w:cs="Times New Roman"/>
          <w:i/>
        </w:rPr>
        <w:t>(sadama aastane lossimiskogus peab olema vähemalt 5  tonni),</w:t>
      </w:r>
      <w:r>
        <w:rPr>
          <w:rFonts w:ascii="Times New Roman" w:eastAsia="Times New Roman" w:hAnsi="Times New Roman" w:cs="Times New Roman"/>
        </w:rPr>
        <w:t xml:space="preserve"> on sadamal võimalik taotleda enda strateegia sadamate nimistusse lisamist. </w:t>
      </w:r>
    </w:p>
    <w:p w14:paraId="1355F90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Euroopa Parlamendi ja nõukogu määruse (EL) nr 2021/1136 artikli 13 punkti i alusel uute sadamate rajamine ei ole lubatud.</w:t>
      </w:r>
    </w:p>
    <w:p w14:paraId="643FC54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Kui kalasadama pidaja soovib saada toetus EMKVF meetme sadamate arendamise tegevussuunast perioodil 2023-2027+, peab ta töötama selle nimel, et tema sadam on üks piirkonna olulisematest kalasadamatest oma lossimiskoguste ja muude kutselist rannapüüki iseloomustavate näitajate poolest.</w:t>
      </w:r>
    </w:p>
    <w:p w14:paraId="7D7F3988" w14:textId="77777777" w:rsidR="008312AA" w:rsidRDefault="008312AA">
      <w:pPr>
        <w:spacing w:line="276" w:lineRule="auto"/>
        <w:rPr>
          <w:rFonts w:ascii="Times New Roman" w:eastAsia="Times New Roman" w:hAnsi="Times New Roman" w:cs="Times New Roman"/>
        </w:rPr>
      </w:pPr>
    </w:p>
    <w:p w14:paraId="14CF1E54"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59" w:name="_heading=h.8fta2noptxyv"/>
      <w:bookmarkStart w:id="60" w:name="_Toc157420961"/>
      <w:bookmarkEnd w:id="59"/>
      <w:r>
        <w:rPr>
          <w:rFonts w:ascii="Times New Roman" w:eastAsia="Times New Roman" w:hAnsi="Times New Roman" w:cs="Times New Roman"/>
          <w:color w:val="7030A0"/>
          <w:sz w:val="28"/>
          <w:szCs w:val="28"/>
        </w:rPr>
        <w:t>4.3. Tegevussuund 3: Majandustegevuse mitmekesistamine</w:t>
      </w:r>
      <w:bookmarkEnd w:id="60"/>
    </w:p>
    <w:p w14:paraId="68CB432C"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2AB7A551" w14:textId="77777777">
        <w:tc>
          <w:tcPr>
            <w:tcW w:w="9062" w:type="dxa"/>
            <w:shd w:val="clear" w:color="auto" w:fill="C2F2F8"/>
          </w:tcPr>
          <w:p w14:paraId="58DCD3D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Ainult kalapüügist elatuvate kalurite hulk on väga väike. See tähendab, et lisaks kalapüügile vajatakse aastaringsete sissetulekute kindlustamiseks lisategevusalasid.</w:t>
            </w:r>
          </w:p>
        </w:tc>
      </w:tr>
    </w:tbl>
    <w:p w14:paraId="624DCF78"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1B9CD334" w14:textId="77777777">
        <w:tc>
          <w:tcPr>
            <w:tcW w:w="9062" w:type="dxa"/>
            <w:shd w:val="clear" w:color="auto" w:fill="FFCCCC"/>
          </w:tcPr>
          <w:p w14:paraId="5E1D0D87"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Eesmärk: </w:t>
            </w:r>
            <w:r>
              <w:rPr>
                <w:rFonts w:ascii="Times New Roman" w:eastAsia="Times New Roman" w:hAnsi="Times New Roman" w:cs="Times New Roman"/>
              </w:rPr>
              <w:t xml:space="preserve">Saaremaa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valdkonnas tegutsevatel ettevõtetel on aastaringne käive.</w:t>
            </w:r>
          </w:p>
        </w:tc>
      </w:tr>
    </w:tbl>
    <w:p w14:paraId="6A5F3F97" w14:textId="77777777" w:rsidR="008312AA" w:rsidRDefault="008312AA">
      <w:pPr>
        <w:spacing w:after="160" w:line="259" w:lineRule="auto"/>
        <w:rPr>
          <w:rFonts w:ascii="Times New Roman" w:eastAsia="Times New Roman" w:hAnsi="Times New Roman" w:cs="Times New Roman"/>
          <w:b/>
        </w:rPr>
      </w:pPr>
    </w:p>
    <w:tbl>
      <w:tblPr>
        <w:tblW w:w="9132" w:type="dxa"/>
        <w:tblInd w:w="-100" w:type="dxa"/>
        <w:tblLayout w:type="fixed"/>
        <w:tblCellMar>
          <w:top w:w="100" w:type="dxa"/>
          <w:left w:w="100" w:type="dxa"/>
          <w:bottom w:w="100" w:type="dxa"/>
          <w:right w:w="100" w:type="dxa"/>
        </w:tblCellMar>
        <w:tblLook w:val="0600" w:firstRow="0" w:lastRow="0" w:firstColumn="0" w:lastColumn="0" w:noHBand="1" w:noVBand="1"/>
      </w:tblPr>
      <w:tblGrid>
        <w:gridCol w:w="3781"/>
        <w:gridCol w:w="3035"/>
        <w:gridCol w:w="2316"/>
      </w:tblGrid>
      <w:tr w:rsidR="008312AA" w14:paraId="7AB11596" w14:textId="77777777">
        <w:trPr>
          <w:trHeight w:val="581"/>
        </w:trPr>
        <w:tc>
          <w:tcPr>
            <w:tcW w:w="3781" w:type="dxa"/>
            <w:tcBorders>
              <w:top w:val="single" w:sz="8" w:space="0" w:color="000000"/>
              <w:left w:val="single" w:sz="8" w:space="0" w:color="000000"/>
              <w:bottom w:val="single" w:sz="8" w:space="0" w:color="000000"/>
              <w:right w:val="single" w:sz="8" w:space="0" w:color="000000"/>
            </w:tcBorders>
            <w:shd w:val="clear" w:color="auto" w:fill="C2F2F8"/>
          </w:tcPr>
          <w:p w14:paraId="63176B8E"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lastRenderedPageBreak/>
              <w:t>Mõõdik</w:t>
            </w:r>
          </w:p>
        </w:tc>
        <w:tc>
          <w:tcPr>
            <w:tcW w:w="3035" w:type="dxa"/>
            <w:tcBorders>
              <w:top w:val="single" w:sz="8" w:space="0" w:color="000000"/>
              <w:bottom w:val="single" w:sz="8" w:space="0" w:color="000000"/>
              <w:right w:val="single" w:sz="8" w:space="0" w:color="000000"/>
            </w:tcBorders>
            <w:shd w:val="clear" w:color="auto" w:fill="C2F2F8"/>
          </w:tcPr>
          <w:p w14:paraId="14860F6A"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2027</w:t>
            </w:r>
          </w:p>
        </w:tc>
        <w:tc>
          <w:tcPr>
            <w:tcW w:w="2316" w:type="dxa"/>
            <w:tcBorders>
              <w:top w:val="single" w:sz="8" w:space="0" w:color="000000"/>
              <w:bottom w:val="single" w:sz="8" w:space="0" w:color="000000"/>
              <w:right w:val="single" w:sz="8" w:space="0" w:color="000000"/>
            </w:tcBorders>
            <w:shd w:val="clear" w:color="auto" w:fill="C2F2F8"/>
          </w:tcPr>
          <w:p w14:paraId="760A0D67"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2027</w:t>
            </w:r>
          </w:p>
        </w:tc>
      </w:tr>
      <w:tr w:rsidR="008312AA" w14:paraId="4A755960" w14:textId="77777777">
        <w:trPr>
          <w:trHeight w:val="3605"/>
        </w:trPr>
        <w:tc>
          <w:tcPr>
            <w:tcW w:w="3781" w:type="dxa"/>
            <w:tcBorders>
              <w:left w:val="single" w:sz="8" w:space="0" w:color="000000"/>
              <w:bottom w:val="single" w:sz="8" w:space="0" w:color="000000"/>
              <w:right w:val="single" w:sz="8" w:space="0" w:color="000000"/>
            </w:tcBorders>
          </w:tcPr>
          <w:p w14:paraId="76960E5B"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Saaremaa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valdkonnas tegutsevate ettevõtete müügitulu/ sissetulekud</w:t>
            </w:r>
          </w:p>
          <w:p w14:paraId="75B1A46E" w14:textId="77777777" w:rsidR="008312AA" w:rsidRDefault="008312AA">
            <w:pPr>
              <w:spacing w:before="300" w:line="276" w:lineRule="auto"/>
              <w:jc w:val="left"/>
              <w:rPr>
                <w:rFonts w:ascii="Times New Roman" w:eastAsia="Times New Roman" w:hAnsi="Times New Roman" w:cs="Times New Roman"/>
              </w:rPr>
            </w:pPr>
          </w:p>
          <w:p w14:paraId="3AFDF50A" w14:textId="77777777" w:rsidR="008312AA" w:rsidRDefault="008312AA">
            <w:pPr>
              <w:spacing w:before="300" w:line="276" w:lineRule="auto"/>
              <w:jc w:val="left"/>
              <w:rPr>
                <w:rFonts w:ascii="Times New Roman" w:eastAsia="Times New Roman" w:hAnsi="Times New Roman" w:cs="Times New Roman"/>
              </w:rPr>
            </w:pPr>
          </w:p>
          <w:p w14:paraId="3BAE5BD2"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Uute või parendatud teenust/ toodete kasutuselevõtmine s.h. töövõtteid  nutikamaks/ lihtsamaks muutvate lahenduste kasutusele võtmine</w:t>
            </w:r>
          </w:p>
          <w:p w14:paraId="2B05634D"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Keskkonnasäästlike (taastuv)energia lahenduste kasutusele võtmine</w:t>
            </w:r>
          </w:p>
        </w:tc>
        <w:tc>
          <w:tcPr>
            <w:tcW w:w="3035" w:type="dxa"/>
            <w:tcBorders>
              <w:bottom w:val="single" w:sz="8" w:space="0" w:color="000000"/>
              <w:right w:val="single" w:sz="8" w:space="0" w:color="000000"/>
            </w:tcBorders>
          </w:tcPr>
          <w:p w14:paraId="08BF5CE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Ettevõtja sissetuleku suurenemine (siht: kasv vähemalt 15% kaks aastat peale projekti lõppu)</w:t>
            </w:r>
          </w:p>
          <w:p w14:paraId="305C2B9D" w14:textId="77777777" w:rsidR="008312AA" w:rsidRDefault="008312AA">
            <w:pPr>
              <w:spacing w:before="300" w:line="276" w:lineRule="auto"/>
              <w:jc w:val="left"/>
              <w:rPr>
                <w:rFonts w:ascii="Times New Roman" w:eastAsia="Times New Roman" w:hAnsi="Times New Roman" w:cs="Times New Roman"/>
              </w:rPr>
            </w:pPr>
          </w:p>
          <w:p w14:paraId="5B01FF20" w14:textId="77777777" w:rsidR="008312AA" w:rsidRDefault="008312AA">
            <w:pPr>
              <w:spacing w:before="300" w:line="276" w:lineRule="auto"/>
              <w:jc w:val="left"/>
              <w:rPr>
                <w:rFonts w:ascii="Times New Roman" w:eastAsia="Times New Roman" w:hAnsi="Times New Roman" w:cs="Times New Roman"/>
              </w:rPr>
            </w:pPr>
          </w:p>
          <w:p w14:paraId="76A54756"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Uute või parendatud teenuste/ toodete arv (siht: 30)</w:t>
            </w:r>
          </w:p>
          <w:p w14:paraId="3DAEB0D8"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Kasutusele võetud kW-d</w:t>
            </w:r>
          </w:p>
        </w:tc>
        <w:tc>
          <w:tcPr>
            <w:tcW w:w="2316" w:type="dxa"/>
            <w:tcBorders>
              <w:bottom w:val="single" w:sz="8" w:space="0" w:color="000000"/>
              <w:right w:val="single" w:sz="8" w:space="0" w:color="000000"/>
            </w:tcBorders>
          </w:tcPr>
          <w:p w14:paraId="71C31905"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Toetust saanud ettevõtjate arv </w:t>
            </w:r>
          </w:p>
          <w:p w14:paraId="64A3CAC0" w14:textId="77777777" w:rsidR="008312AA" w:rsidRDefault="008312AA">
            <w:pPr>
              <w:spacing w:before="300" w:line="276" w:lineRule="auto"/>
              <w:jc w:val="left"/>
              <w:rPr>
                <w:rFonts w:ascii="Times New Roman" w:eastAsia="Times New Roman" w:hAnsi="Times New Roman" w:cs="Times New Roman"/>
              </w:rPr>
            </w:pPr>
          </w:p>
          <w:p w14:paraId="7AA6245A" w14:textId="77777777" w:rsidR="008312AA" w:rsidRDefault="008312AA">
            <w:pPr>
              <w:spacing w:before="300" w:line="276" w:lineRule="auto"/>
              <w:jc w:val="left"/>
              <w:rPr>
                <w:rFonts w:ascii="Times New Roman" w:eastAsia="Times New Roman" w:hAnsi="Times New Roman" w:cs="Times New Roman"/>
              </w:rPr>
            </w:pPr>
          </w:p>
          <w:p w14:paraId="52CD9385" w14:textId="77777777" w:rsidR="008312AA" w:rsidRDefault="008312AA">
            <w:pPr>
              <w:spacing w:before="300" w:line="276" w:lineRule="auto"/>
              <w:jc w:val="left"/>
              <w:rPr>
                <w:rFonts w:ascii="Times New Roman" w:eastAsia="Times New Roman" w:hAnsi="Times New Roman" w:cs="Times New Roman"/>
              </w:rPr>
            </w:pPr>
          </w:p>
          <w:p w14:paraId="33A134D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Tegevuste mitmekesistamise projektide arv</w:t>
            </w:r>
          </w:p>
        </w:tc>
      </w:tr>
    </w:tbl>
    <w:p w14:paraId="12F28AF9" w14:textId="77777777" w:rsidR="008312AA" w:rsidRDefault="008312AA">
      <w:pPr>
        <w:spacing w:line="276" w:lineRule="auto"/>
        <w:rPr>
          <w:rFonts w:ascii="Times New Roman" w:eastAsia="Times New Roman" w:hAnsi="Times New Roman" w:cs="Times New Roman"/>
        </w:rPr>
      </w:pPr>
    </w:p>
    <w:p w14:paraId="7DCA36C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Toetatavad tegevused: </w:t>
      </w:r>
      <w:r>
        <w:rPr>
          <w:rFonts w:ascii="Times New Roman" w:eastAsia="Times New Roman" w:hAnsi="Times New Roman" w:cs="Times New Roman"/>
          <w:iCs/>
        </w:rPr>
        <w:t>oluline on investeeringute toetamine, mis mitmekesistavad kalurite majandustegevust ja loovad kaluritele uusi sissetulekuallikaid ning suurendavad nende sissetulekuid.</w:t>
      </w:r>
      <w:r>
        <w:rPr>
          <w:rFonts w:ascii="Times New Roman" w:eastAsia="Times New Roman" w:hAnsi="Times New Roman" w:cs="Times New Roman"/>
          <w:i/>
        </w:rPr>
        <w:t xml:space="preserve"> </w:t>
      </w:r>
      <w:r>
        <w:rPr>
          <w:rFonts w:ascii="Times New Roman" w:eastAsia="Times New Roman" w:hAnsi="Times New Roman" w:cs="Times New Roman"/>
        </w:rPr>
        <w:t>Tegevussuuna alt toetatakse kalurite tegevuse mitmekesistamist (igasugused soetused, mis võivad tagada lisasissetulekuid, ei pea olema kalandusega seotud, oluline on, et kalur jätkaks kalapüügiga vähemalt poole aasta arvestusliku elatusmiinimumi tasemel).</w:t>
      </w:r>
    </w:p>
    <w:p w14:paraId="51A4D666" w14:textId="77777777" w:rsidR="008312AA" w:rsidRDefault="00000000">
      <w:pPr>
        <w:spacing w:line="276" w:lineRule="auto"/>
        <w:rPr>
          <w:rFonts w:ascii="Times New Roman" w:eastAsia="Times New Roman" w:hAnsi="Times New Roman" w:cs="Times New Roman"/>
          <w:iCs/>
        </w:rPr>
      </w:pPr>
      <w:r>
        <w:rPr>
          <w:rFonts w:ascii="Times New Roman" w:eastAsia="Times New Roman" w:hAnsi="Times New Roman" w:cs="Times New Roman"/>
          <w:iCs/>
        </w:rPr>
        <w:t>Lisaks toetatakse ka investeeringuid, mis aitavad paremini toime tulla kliimamuutustest tulenevate muutustega ning kasutusele võtta süsinikneutraalseid alternatiivseid energiaallikaid. Kalanduses tegutseva ettevõtja sissetulekud on suures sõltuvuses püügi hooajalisusest, kalaressursist, ilmastikuoludest ja kala hinnast. Majandustegevuse mitmekesistamise tegevuste laiem eesmärk on võimaldada kaluritele lisasissetulekut kalandussektorist lahkumata, luua uusi töökohti ja ettevõtteid rannapiirkondadesse.  Näiteks: investeeringud mis aitavad kasutusele võtta piirkondade ressursse (pilliroog, ravimuda, vetikad jms) ja paremini ära kasutada positiivseid turismitrende kalanduspiirkonnas. Investeeringud, mis aitavad kaasa kalurite majandustegevuse laienemisele teistesse sektoristesse, näiteks metsandus, põllumajandus, mere ja rannikuturism jms. Investeeringud, mis aitavad kaluritel oma ettevõtete käitamiseks ja teenuste osutamiseks üle minna keskkonnasõbralikele energiaallikatele.</w:t>
      </w:r>
    </w:p>
    <w:p w14:paraId="3BC1DA00" w14:textId="77777777" w:rsidR="008312AA" w:rsidRDefault="00000000">
      <w:pPr>
        <w:spacing w:line="276" w:lineRule="auto"/>
        <w:rPr>
          <w:rFonts w:ascii="Times New Roman" w:eastAsia="Times New Roman" w:hAnsi="Times New Roman" w:cs="Times New Roman"/>
          <w:bCs/>
          <w:i/>
        </w:rPr>
      </w:pPr>
      <w:r>
        <w:rPr>
          <w:rFonts w:ascii="Times New Roman" w:eastAsia="Times New Roman" w:hAnsi="Times New Roman" w:cs="Times New Roman"/>
          <w:bCs/>
          <w:i/>
        </w:rPr>
        <w:t>Päikeseenergia kasutuselevõtmisega seotud tegevuse elluviimisel on projektitoetuse maksimaalne määr 50 % toetatava tegevuse abikõlblikest kuludest</w:t>
      </w:r>
      <w:r>
        <w:rPr>
          <w:rStyle w:val="Allmrkuseviide"/>
          <w:rFonts w:ascii="Times New Roman" w:eastAsia="Times New Roman" w:hAnsi="Times New Roman" w:cs="Times New Roman"/>
          <w:bCs/>
          <w:i/>
        </w:rPr>
        <w:footnoteReference w:id="63"/>
      </w:r>
    </w:p>
    <w:p w14:paraId="16D50EC4"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Toetatavate tegevuste kirjeldus täpsemalt:</w:t>
      </w:r>
    </w:p>
    <w:p w14:paraId="06A423BD" w14:textId="0BD6D9C2" w:rsidR="008312AA" w:rsidRPr="009160AF" w:rsidRDefault="00000000" w:rsidP="009160AF">
      <w:pPr>
        <w:pStyle w:val="Loendilik"/>
        <w:numPr>
          <w:ilvl w:val="0"/>
          <w:numId w:val="33"/>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Rannakalurite sotsiaalse kindlustatuse parandamine ja hooaja pikendamine läbi mitmekesistamise, luues ja säilitades töökohti ning tõstes rannakalurite tulubaasi tagades stabiilse sissetuleku.</w:t>
      </w:r>
    </w:p>
    <w:p w14:paraId="61FBB56B" w14:textId="77777777" w:rsidR="008312AA" w:rsidRPr="009160AF" w:rsidRDefault="00000000" w:rsidP="009160AF">
      <w:pPr>
        <w:pStyle w:val="Loendilik"/>
        <w:numPr>
          <w:ilvl w:val="0"/>
          <w:numId w:val="33"/>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Merega seotud turismiteenuste arendamine sh kohalikul kalal ja muul kohalikul toormel baseeruvate toitlustuskohtade loomine ja arendamine, teenuse “kaluriga merele” arendamine.</w:t>
      </w:r>
    </w:p>
    <w:p w14:paraId="0CE7499F" w14:textId="14B6BE43" w:rsidR="008312AA" w:rsidRDefault="00000000" w:rsidP="00460A2E">
      <w:pPr>
        <w:pStyle w:val="Loendilik"/>
        <w:numPr>
          <w:ilvl w:val="0"/>
          <w:numId w:val="33"/>
        </w:numPr>
        <w:spacing w:line="276" w:lineRule="auto"/>
        <w:jc w:val="left"/>
        <w:rPr>
          <w:rFonts w:ascii="Times New Roman" w:eastAsia="Times New Roman" w:hAnsi="Times New Roman" w:cs="Times New Roman"/>
          <w:i/>
          <w:iCs/>
        </w:rPr>
      </w:pPr>
      <w:r w:rsidRPr="009160AF">
        <w:rPr>
          <w:rFonts w:ascii="Times New Roman" w:eastAsia="Times New Roman" w:hAnsi="Times New Roman" w:cs="Times New Roman"/>
        </w:rPr>
        <w:t>Investeeringud kalurite lisategevuste jaoks vajalikesse ehitistesse, seadmetesse, masinatesse</w:t>
      </w:r>
      <w:r w:rsidR="009160AF">
        <w:rPr>
          <w:rFonts w:ascii="Times New Roman" w:eastAsia="Times New Roman" w:hAnsi="Times New Roman" w:cs="Times New Roman"/>
        </w:rPr>
        <w:t xml:space="preserve"> </w:t>
      </w:r>
      <w:r w:rsidRPr="009160AF">
        <w:rPr>
          <w:rFonts w:ascii="Times New Roman" w:eastAsia="Times New Roman" w:hAnsi="Times New Roman" w:cs="Times New Roman"/>
        </w:rPr>
        <w:t xml:space="preserve">jms. </w:t>
      </w:r>
      <w:r w:rsidRPr="009160AF">
        <w:rPr>
          <w:rFonts w:ascii="Times New Roman" w:eastAsia="Times New Roman" w:hAnsi="Times New Roman" w:cs="Times New Roman"/>
        </w:rPr>
        <w:br/>
      </w:r>
      <w:r w:rsidRPr="009160AF">
        <w:rPr>
          <w:rFonts w:ascii="Times New Roman" w:eastAsia="Times New Roman" w:hAnsi="Times New Roman" w:cs="Times New Roman"/>
          <w:i/>
          <w:iCs/>
        </w:rPr>
        <w:t xml:space="preserve">Teave toetuse saaja ja projektitoetuse maksimaalsete määrade kohta on leitav määrusest „Perioodi 2021-2027 kogukonna juhitud kohaliku arengu strateegia.“ </w:t>
      </w:r>
    </w:p>
    <w:p w14:paraId="4307318C" w14:textId="77777777" w:rsidR="00460A2E" w:rsidRPr="00460A2E" w:rsidRDefault="00460A2E" w:rsidP="00460A2E">
      <w:pPr>
        <w:pStyle w:val="Loendilik"/>
        <w:spacing w:line="276" w:lineRule="auto"/>
        <w:jc w:val="left"/>
        <w:rPr>
          <w:rFonts w:ascii="Times New Roman" w:eastAsia="Times New Roman" w:hAnsi="Times New Roman" w:cs="Times New Roman"/>
          <w:i/>
          <w:iCs/>
        </w:rPr>
      </w:pPr>
    </w:p>
    <w:p w14:paraId="20000067"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1" w:name="_heading=h.fi5z8dfcz77q"/>
      <w:bookmarkStart w:id="62" w:name="_Toc157420962"/>
      <w:bookmarkEnd w:id="61"/>
      <w:r>
        <w:rPr>
          <w:rFonts w:ascii="Times New Roman" w:eastAsia="Times New Roman" w:hAnsi="Times New Roman" w:cs="Times New Roman"/>
          <w:color w:val="7030A0"/>
          <w:sz w:val="28"/>
          <w:szCs w:val="28"/>
        </w:rPr>
        <w:t>4.4. Tegevussuund 4: Looduskeskkonna tingimuste parendamine</w:t>
      </w:r>
      <w:bookmarkEnd w:id="62"/>
    </w:p>
    <w:p w14:paraId="3B1C2644" w14:textId="77777777" w:rsidR="008312AA" w:rsidRDefault="008312AA">
      <w:pPr>
        <w:spacing w:line="276" w:lineRule="auto"/>
        <w:rPr>
          <w:rFonts w:ascii="Times New Roman" w:eastAsia="Times New Roman" w:hAnsi="Times New Roman" w:cs="Times New Roman"/>
          <w:b/>
        </w:rPr>
      </w:pPr>
      <w:bookmarkStart w:id="63" w:name="_heading=h.5ssis3s21cpf"/>
      <w:bookmarkEnd w:id="63"/>
    </w:p>
    <w:tbl>
      <w:tblPr>
        <w:tblStyle w:val="Kontuurtabel"/>
        <w:tblW w:w="9062" w:type="dxa"/>
        <w:tblLayout w:type="fixed"/>
        <w:tblLook w:val="04A0" w:firstRow="1" w:lastRow="0" w:firstColumn="1" w:lastColumn="0" w:noHBand="0" w:noVBand="1"/>
      </w:tblPr>
      <w:tblGrid>
        <w:gridCol w:w="9062"/>
      </w:tblGrid>
      <w:tr w:rsidR="008312AA" w14:paraId="68EAA0C1" w14:textId="77777777">
        <w:tc>
          <w:tcPr>
            <w:tcW w:w="9062" w:type="dxa"/>
            <w:shd w:val="clear" w:color="auto" w:fill="C2F2F8"/>
          </w:tcPr>
          <w:p w14:paraId="41F4D70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Saaremaa ranna- ja kalanduskogukondadele on väga oluline stabiilse ja jätkusuutliku kalavaru olemasolu.</w:t>
            </w:r>
          </w:p>
        </w:tc>
      </w:tr>
    </w:tbl>
    <w:p w14:paraId="0C25EB33"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56A831CC" w14:textId="77777777">
        <w:tc>
          <w:tcPr>
            <w:tcW w:w="9062" w:type="dxa"/>
            <w:shd w:val="clear" w:color="auto" w:fill="FFCCCC"/>
          </w:tcPr>
          <w:p w14:paraId="25BCCA43"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Eesmärk: </w:t>
            </w:r>
            <w:r>
              <w:rPr>
                <w:rFonts w:ascii="Times New Roman" w:eastAsia="Times New Roman" w:hAnsi="Times New Roman" w:cs="Times New Roman"/>
              </w:rPr>
              <w:t>Saaremaal on loodud tingimused kalavarude taastootmiseks.</w:t>
            </w:r>
          </w:p>
        </w:tc>
      </w:tr>
    </w:tbl>
    <w:p w14:paraId="0D8B4790" w14:textId="77777777" w:rsidR="008312AA" w:rsidRDefault="008312AA">
      <w:pPr>
        <w:spacing w:line="276" w:lineRule="auto"/>
        <w:rPr>
          <w:rFonts w:ascii="Times New Roman" w:eastAsia="Times New Roman" w:hAnsi="Times New Roman" w:cs="Times New Roman"/>
        </w:rPr>
      </w:pPr>
    </w:p>
    <w:tbl>
      <w:tblPr>
        <w:tblW w:w="9060" w:type="dxa"/>
        <w:tblInd w:w="-100" w:type="dxa"/>
        <w:tblLayout w:type="fixed"/>
        <w:tblCellMar>
          <w:top w:w="100" w:type="dxa"/>
          <w:left w:w="100" w:type="dxa"/>
          <w:bottom w:w="100" w:type="dxa"/>
          <w:right w:w="100" w:type="dxa"/>
        </w:tblCellMar>
        <w:tblLook w:val="0600" w:firstRow="0" w:lastRow="0" w:firstColumn="0" w:lastColumn="0" w:noHBand="1" w:noVBand="1"/>
      </w:tblPr>
      <w:tblGrid>
        <w:gridCol w:w="2789"/>
        <w:gridCol w:w="2880"/>
        <w:gridCol w:w="3391"/>
      </w:tblGrid>
      <w:tr w:rsidR="008312AA" w14:paraId="1F4B9F1E" w14:textId="77777777">
        <w:trPr>
          <w:trHeight w:val="620"/>
        </w:trPr>
        <w:tc>
          <w:tcPr>
            <w:tcW w:w="2789" w:type="dxa"/>
            <w:tcBorders>
              <w:top w:val="single" w:sz="8" w:space="0" w:color="000000"/>
              <w:left w:val="single" w:sz="8" w:space="0" w:color="000000"/>
              <w:bottom w:val="single" w:sz="8" w:space="0" w:color="000000"/>
              <w:right w:val="single" w:sz="8" w:space="0" w:color="000000"/>
            </w:tcBorders>
            <w:shd w:val="clear" w:color="auto" w:fill="C2F2F8"/>
          </w:tcPr>
          <w:p w14:paraId="33451ABB"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2880" w:type="dxa"/>
            <w:tcBorders>
              <w:top w:val="single" w:sz="8" w:space="0" w:color="000000"/>
              <w:bottom w:val="single" w:sz="8" w:space="0" w:color="000000"/>
              <w:right w:val="single" w:sz="8" w:space="0" w:color="000000"/>
            </w:tcBorders>
            <w:shd w:val="clear" w:color="auto" w:fill="C2F2F8"/>
          </w:tcPr>
          <w:p w14:paraId="7D1F5358"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2027</w:t>
            </w:r>
          </w:p>
        </w:tc>
        <w:tc>
          <w:tcPr>
            <w:tcW w:w="3391" w:type="dxa"/>
            <w:tcBorders>
              <w:top w:val="single" w:sz="8" w:space="0" w:color="000000"/>
              <w:bottom w:val="single" w:sz="8" w:space="0" w:color="000000"/>
              <w:right w:val="single" w:sz="8" w:space="0" w:color="000000"/>
            </w:tcBorders>
            <w:shd w:val="clear" w:color="auto" w:fill="C2F2F8"/>
          </w:tcPr>
          <w:p w14:paraId="35CD47E3"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2027</w:t>
            </w:r>
          </w:p>
        </w:tc>
      </w:tr>
      <w:tr w:rsidR="008312AA" w14:paraId="632B75D9" w14:textId="77777777">
        <w:trPr>
          <w:trHeight w:val="620"/>
        </w:trPr>
        <w:tc>
          <w:tcPr>
            <w:tcW w:w="2789" w:type="dxa"/>
            <w:tcBorders>
              <w:left w:val="single" w:sz="8" w:space="0" w:color="000000"/>
              <w:bottom w:val="single" w:sz="8" w:space="0" w:color="000000"/>
              <w:right w:val="single" w:sz="8" w:space="0" w:color="000000"/>
            </w:tcBorders>
          </w:tcPr>
          <w:p w14:paraId="3323F899"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Koelmualade ja kala rändeteede puhastamine/avamine soodustamaks kalavarude looduslikku taastumist</w:t>
            </w:r>
          </w:p>
          <w:p w14:paraId="0604CFFD" w14:textId="77777777" w:rsidR="008312AA" w:rsidRDefault="008312AA">
            <w:pPr>
              <w:spacing w:before="300" w:line="276" w:lineRule="auto"/>
              <w:jc w:val="left"/>
              <w:rPr>
                <w:rFonts w:ascii="Times New Roman" w:eastAsia="Times New Roman" w:hAnsi="Times New Roman" w:cs="Times New Roman"/>
              </w:rPr>
            </w:pPr>
          </w:p>
          <w:p w14:paraId="01ABDE8D"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(Mere)prügi koristamine ja rannakarjamaade hooldamine</w:t>
            </w:r>
          </w:p>
          <w:p w14:paraId="39857F32" w14:textId="77777777" w:rsidR="008312AA" w:rsidRDefault="008312AA">
            <w:pPr>
              <w:spacing w:before="240" w:after="240" w:line="276" w:lineRule="auto"/>
              <w:jc w:val="left"/>
              <w:rPr>
                <w:rFonts w:ascii="Times New Roman" w:eastAsia="Times New Roman" w:hAnsi="Times New Roman" w:cs="Times New Roman"/>
              </w:rPr>
            </w:pPr>
          </w:p>
          <w:p w14:paraId="516D6EF1" w14:textId="77777777"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Mereimetajate ja -lindude populatsiooni ohjamine (kormoran, hüljes)</w:t>
            </w:r>
          </w:p>
          <w:p w14:paraId="6E45F2DB" w14:textId="5120A612"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t>Kalateadlaste uuringute toetamine, mis annavad sisendi piirkonna mere/ looduskeskkonna tingimuste parendamiseks</w:t>
            </w:r>
          </w:p>
        </w:tc>
        <w:tc>
          <w:tcPr>
            <w:tcW w:w="2880" w:type="dxa"/>
            <w:tcBorders>
              <w:bottom w:val="single" w:sz="8" w:space="0" w:color="000000"/>
              <w:right w:val="single" w:sz="8" w:space="0" w:color="000000"/>
            </w:tcBorders>
          </w:tcPr>
          <w:p w14:paraId="0C82BD90"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Puhastatud koelmualad ja kalade rändeteed (siht: 4)</w:t>
            </w:r>
          </w:p>
          <w:p w14:paraId="0EAEF67C" w14:textId="77777777" w:rsidR="008312AA" w:rsidRDefault="008312AA">
            <w:pPr>
              <w:spacing w:before="300" w:line="276" w:lineRule="auto"/>
              <w:jc w:val="left"/>
              <w:rPr>
                <w:rFonts w:ascii="Times New Roman" w:eastAsia="Times New Roman" w:hAnsi="Times New Roman" w:cs="Times New Roman"/>
              </w:rPr>
            </w:pPr>
          </w:p>
          <w:p w14:paraId="6932BD39" w14:textId="77777777" w:rsidR="008312AA" w:rsidRDefault="008312AA">
            <w:pPr>
              <w:spacing w:before="300" w:line="276" w:lineRule="auto"/>
              <w:jc w:val="left"/>
              <w:rPr>
                <w:rFonts w:ascii="Times New Roman" w:eastAsia="Times New Roman" w:hAnsi="Times New Roman" w:cs="Times New Roman"/>
              </w:rPr>
            </w:pPr>
          </w:p>
          <w:p w14:paraId="5A922D2A"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Prügi koristamise ja rannakarjamaade hooldamisega seotud tegevused (siht: 3)</w:t>
            </w:r>
          </w:p>
          <w:p w14:paraId="34DB8EF5" w14:textId="77777777" w:rsidR="008312AA" w:rsidRDefault="008312AA">
            <w:pPr>
              <w:spacing w:before="300" w:line="276" w:lineRule="auto"/>
              <w:jc w:val="left"/>
              <w:rPr>
                <w:rFonts w:ascii="Times New Roman" w:eastAsia="Times New Roman" w:hAnsi="Times New Roman" w:cs="Times New Roman"/>
              </w:rPr>
            </w:pPr>
          </w:p>
          <w:p w14:paraId="660819A7"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Mereimetajate ja -lindude populatsiooni ohjamisega seotud tegevused (siht: 2)</w:t>
            </w:r>
          </w:p>
          <w:p w14:paraId="5FCD14E6"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Läbiviidud uuringud (siht: 1)</w:t>
            </w:r>
          </w:p>
        </w:tc>
        <w:tc>
          <w:tcPr>
            <w:tcW w:w="3391" w:type="dxa"/>
            <w:tcBorders>
              <w:bottom w:val="single" w:sz="8" w:space="0" w:color="000000"/>
              <w:right w:val="single" w:sz="8" w:space="0" w:color="000000"/>
            </w:tcBorders>
          </w:tcPr>
          <w:p w14:paraId="59A7B7B6" w14:textId="77777777" w:rsidR="008312AA" w:rsidRDefault="008312AA">
            <w:pPr>
              <w:spacing w:before="300" w:line="276" w:lineRule="auto"/>
              <w:jc w:val="left"/>
              <w:rPr>
                <w:rFonts w:ascii="Times New Roman" w:eastAsia="Times New Roman" w:hAnsi="Times New Roman" w:cs="Times New Roman"/>
              </w:rPr>
            </w:pPr>
          </w:p>
          <w:p w14:paraId="123F9A23" w14:textId="77777777" w:rsidR="008312AA" w:rsidRDefault="008312AA">
            <w:pPr>
              <w:spacing w:before="300" w:line="276" w:lineRule="auto"/>
              <w:jc w:val="left"/>
              <w:rPr>
                <w:rFonts w:ascii="Times New Roman" w:eastAsia="Times New Roman" w:hAnsi="Times New Roman" w:cs="Times New Roman"/>
              </w:rPr>
            </w:pPr>
          </w:p>
          <w:p w14:paraId="2D08DC1A" w14:textId="77777777" w:rsidR="008312AA" w:rsidRDefault="008312AA">
            <w:pPr>
              <w:spacing w:before="300" w:line="276" w:lineRule="auto"/>
              <w:jc w:val="left"/>
              <w:rPr>
                <w:rFonts w:ascii="Times New Roman" w:eastAsia="Times New Roman" w:hAnsi="Times New Roman" w:cs="Times New Roman"/>
              </w:rPr>
            </w:pPr>
          </w:p>
          <w:p w14:paraId="47F08B71" w14:textId="77777777" w:rsidR="008312AA" w:rsidRDefault="008312AA">
            <w:pPr>
              <w:spacing w:before="300" w:line="276" w:lineRule="auto"/>
              <w:jc w:val="left"/>
              <w:rPr>
                <w:rFonts w:ascii="Times New Roman" w:eastAsia="Times New Roman" w:hAnsi="Times New Roman" w:cs="Times New Roman"/>
              </w:rPr>
            </w:pPr>
          </w:p>
          <w:p w14:paraId="72223827" w14:textId="77777777" w:rsidR="008312AA" w:rsidRDefault="008312AA">
            <w:pPr>
              <w:spacing w:before="300" w:line="276" w:lineRule="auto"/>
              <w:jc w:val="left"/>
              <w:rPr>
                <w:rFonts w:ascii="Times New Roman" w:eastAsia="Times New Roman" w:hAnsi="Times New Roman" w:cs="Times New Roman"/>
              </w:rPr>
            </w:pPr>
          </w:p>
          <w:p w14:paraId="25D122A9"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Toetust saanud projektide arv kokku</w:t>
            </w:r>
          </w:p>
        </w:tc>
      </w:tr>
    </w:tbl>
    <w:p w14:paraId="1554F87A" w14:textId="77777777" w:rsidR="008312AA" w:rsidRDefault="008312AA">
      <w:pPr>
        <w:spacing w:line="276" w:lineRule="auto"/>
        <w:rPr>
          <w:rFonts w:ascii="Times New Roman" w:eastAsia="Times New Roman" w:hAnsi="Times New Roman" w:cs="Times New Roman"/>
        </w:rPr>
      </w:pPr>
    </w:p>
    <w:p w14:paraId="77CD105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Toetatavad tegevused: </w:t>
      </w:r>
      <w:r>
        <w:rPr>
          <w:rFonts w:ascii="Times New Roman" w:eastAsia="Times New Roman" w:hAnsi="Times New Roman" w:cs="Times New Roman"/>
        </w:rPr>
        <w:t xml:space="preserve">tegevussuuna alt toetatakse kalavarude jätkusuutlikkuse tagamisele kaasa aitavaid projekte  s.h. hüljeste ja kormoranide populatsiooni ohjamist ja </w:t>
      </w:r>
      <w:proofErr w:type="spellStart"/>
      <w:r>
        <w:rPr>
          <w:rFonts w:ascii="Times New Roman" w:eastAsia="Times New Roman" w:hAnsi="Times New Roman" w:cs="Times New Roman"/>
        </w:rPr>
        <w:t>koelmualde</w:t>
      </w:r>
      <w:proofErr w:type="spellEnd"/>
      <w:r>
        <w:rPr>
          <w:rFonts w:ascii="Times New Roman" w:eastAsia="Times New Roman" w:hAnsi="Times New Roman" w:cs="Times New Roman"/>
        </w:rPr>
        <w:t xml:space="preserve">  taastamist. Toetatakse tegevusi, mis parendavad kohaliku tähtsusega kudealasid ja kalade rändeteid ning parendavad looduskeskkonda.</w:t>
      </w:r>
    </w:p>
    <w:p w14:paraId="10F910BC" w14:textId="77777777" w:rsidR="008312AA" w:rsidRDefault="00000000">
      <w:pPr>
        <w:spacing w:line="276" w:lineRule="auto"/>
        <w:rPr>
          <w:rFonts w:ascii="Times New Roman" w:eastAsia="Times New Roman" w:hAnsi="Times New Roman" w:cs="Times New Roman"/>
          <w:iCs/>
        </w:rPr>
      </w:pPr>
      <w:r>
        <w:rPr>
          <w:rFonts w:ascii="Times New Roman" w:eastAsia="Times New Roman" w:hAnsi="Times New Roman" w:cs="Times New Roman"/>
          <w:iCs/>
        </w:rPr>
        <w:t xml:space="preserve">Oluline on investeeringute toetamine, mis panustavad kala kudealade ja rändteede parendamisse, et soodustada kalavarude taastumist looduslikul teel. Paljud ranna- ja </w:t>
      </w:r>
      <w:proofErr w:type="spellStart"/>
      <w:r>
        <w:rPr>
          <w:rFonts w:ascii="Times New Roman" w:eastAsia="Times New Roman" w:hAnsi="Times New Roman" w:cs="Times New Roman"/>
          <w:iCs/>
        </w:rPr>
        <w:t>sisevete</w:t>
      </w:r>
      <w:proofErr w:type="spellEnd"/>
      <w:r>
        <w:rPr>
          <w:rFonts w:ascii="Times New Roman" w:eastAsia="Times New Roman" w:hAnsi="Times New Roman" w:cs="Times New Roman"/>
          <w:iCs/>
        </w:rPr>
        <w:t xml:space="preserve"> kalanduse jaoks olulised koelmujõed ja ojad on kalade jaoks läbipääsmatud ning vajavad setete eemaldamist kalade rändeteede avamiseks ning kudemistingimuste parendamiseks. Olulised on tegevused, mis aitavad kaasa kala kudemistingimuste parendamisele meres, näiteks ajutised kudealad kohale. Olulised on investeeringud tegevustesse, mis tagavad </w:t>
      </w:r>
      <w:proofErr w:type="spellStart"/>
      <w:r>
        <w:rPr>
          <w:rFonts w:ascii="Times New Roman" w:eastAsia="Times New Roman" w:hAnsi="Times New Roman" w:cs="Times New Roman"/>
          <w:iCs/>
        </w:rPr>
        <w:t>liigilise</w:t>
      </w:r>
      <w:proofErr w:type="spellEnd"/>
      <w:r>
        <w:rPr>
          <w:rFonts w:ascii="Times New Roman" w:eastAsia="Times New Roman" w:hAnsi="Times New Roman" w:cs="Times New Roman"/>
          <w:iCs/>
        </w:rPr>
        <w:t xml:space="preserve"> mitmekesisuse Eesti rannikumeres, kahjustamata seejuures kalurite saake ja püügivahendeid ning tegevused, mis vähendavad kalapüügiga kaasneva mittebioloogiliste jäätmete ja prügi sattumist veekeskkonda ning aitavad kaasa mereprügi kogumise ja ümbertöötlemise taristu väljaarendamisele. Lisaks toetatakse tegevusi, mis suurendavad keskkonnaalast teadlikkust, näiteks: talgud, koolitused, sündmused jms. Toetatavate tegevustena võib läbi viia ka erinevaid uuringuid, mis aitavad kavandada edasisi projektitegevusi, või annavad olulist sisendit looduskeskkonna parendamise teemadele ning  tegevusi, mis vähendavad hülge ja kormorani kahjusid, näiteks: mereimetajate ja kormoranide heidutamine, linnumunade õlitamine jms, kui see on kooskõlas valdkondlike majandamise ja ohjamiskavadega ning Keskkonnaameti poolt kooskõlastatud.</w:t>
      </w:r>
    </w:p>
    <w:p w14:paraId="3E03AD13"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Toetatavate tegevuste kirjeldus täpsemalt:</w:t>
      </w:r>
    </w:p>
    <w:p w14:paraId="2E139542" w14:textId="77777777"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Mereimetajate ja -lindude populatsiooni ohjamine (kormoran, hüljes)</w:t>
      </w:r>
    </w:p>
    <w:p w14:paraId="4051D945" w14:textId="77777777"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Rannakarjamaade puhastamine sh pilliroo niitmine.</w:t>
      </w:r>
    </w:p>
    <w:p w14:paraId="1F09132C" w14:textId="77777777"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Kunstkoelmute paigaldamine ja valmistamine.</w:t>
      </w:r>
    </w:p>
    <w:p w14:paraId="3A313010" w14:textId="77777777"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Kalade kude- ja koelmualade taastamine ja parendamine.</w:t>
      </w:r>
    </w:p>
    <w:p w14:paraId="0C0DAEAE" w14:textId="77777777"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Mereprügi koristamine sh kormoranide ja hülge korjused.</w:t>
      </w:r>
    </w:p>
    <w:p w14:paraId="03F30D06" w14:textId="77777777" w:rsidR="008312AA" w:rsidRPr="009160AF" w:rsidRDefault="00000000" w:rsidP="009160AF">
      <w:pPr>
        <w:pStyle w:val="Loendilik"/>
        <w:numPr>
          <w:ilvl w:val="0"/>
          <w:numId w:val="32"/>
        </w:numPr>
        <w:spacing w:before="240" w:after="240" w:line="276" w:lineRule="auto"/>
        <w:rPr>
          <w:rFonts w:ascii="Times New Roman" w:eastAsia="Times New Roman" w:hAnsi="Times New Roman" w:cs="Times New Roman"/>
        </w:rPr>
      </w:pPr>
      <w:r w:rsidRPr="009160AF">
        <w:rPr>
          <w:rFonts w:ascii="Times New Roman" w:eastAsia="Times New Roman" w:hAnsi="Times New Roman" w:cs="Times New Roman"/>
        </w:rPr>
        <w:t>Uuringud, mis annavad sisendi looduskeskkonna tingimuste parendamiseks</w:t>
      </w:r>
    </w:p>
    <w:p w14:paraId="1E47616B"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Teave toetuse saaja ja projektitoetuse maksimaalsete määrade kohta on leitav määrusest „Perioodi 2021-2027 kogukonna juhitud kohaliku arengu strateegia.“ </w:t>
      </w:r>
    </w:p>
    <w:p w14:paraId="33710F3A" w14:textId="77777777" w:rsidR="008312AA" w:rsidRDefault="008312AA">
      <w:pPr>
        <w:spacing w:line="276" w:lineRule="auto"/>
        <w:rPr>
          <w:rFonts w:ascii="Times New Roman" w:eastAsia="Times New Roman" w:hAnsi="Times New Roman" w:cs="Times New Roman"/>
        </w:rPr>
      </w:pPr>
    </w:p>
    <w:p w14:paraId="1361F73E"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4" w:name="_Toc157420963"/>
      <w:r>
        <w:rPr>
          <w:rFonts w:ascii="Times New Roman" w:eastAsia="Times New Roman" w:hAnsi="Times New Roman" w:cs="Times New Roman"/>
          <w:color w:val="7030A0"/>
          <w:sz w:val="28"/>
          <w:szCs w:val="28"/>
        </w:rPr>
        <w:lastRenderedPageBreak/>
        <w:t>4.5. Tegevussuund 5: Kalanduse- ja merenduse kultuuripärandi edendamine kalanduspiirkonnas</w:t>
      </w:r>
      <w:bookmarkEnd w:id="64"/>
    </w:p>
    <w:p w14:paraId="3056D0D4"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52F8571B" w14:textId="77777777">
        <w:tc>
          <w:tcPr>
            <w:tcW w:w="9062" w:type="dxa"/>
            <w:shd w:val="clear" w:color="auto" w:fill="C2F2F8"/>
          </w:tcPr>
          <w:p w14:paraId="0D961D8D"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kalanduspiirkond peab oluliseks ranna- ja kalanduskogukondade identiteedi tugevdamist  ning kalandus- ja merendustraditsioonide edendamist ja säilitamist.</w:t>
            </w:r>
          </w:p>
        </w:tc>
      </w:tr>
    </w:tbl>
    <w:p w14:paraId="1C327915"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7A885640" w14:textId="77777777">
        <w:tc>
          <w:tcPr>
            <w:tcW w:w="9062" w:type="dxa"/>
            <w:shd w:val="clear" w:color="auto" w:fill="FFCCCC"/>
          </w:tcPr>
          <w:p w14:paraId="575BDF0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Eesmärk:</w:t>
            </w:r>
            <w:r>
              <w:rPr>
                <w:rFonts w:ascii="Times New Roman" w:eastAsia="Times New Roman" w:hAnsi="Times New Roman" w:cs="Times New Roman"/>
              </w:rPr>
              <w:t xml:space="preserve">  Saaremaa on kalanduspiirkonnana tuntud ja eksponeeritud, kohalik kalandus- ja merenduskultuur on talletatud ja </w:t>
            </w:r>
            <w:proofErr w:type="spellStart"/>
            <w:r>
              <w:rPr>
                <w:rFonts w:ascii="Times New Roman" w:eastAsia="Times New Roman" w:hAnsi="Times New Roman" w:cs="Times New Roman"/>
              </w:rPr>
              <w:t>järeletulevatele</w:t>
            </w:r>
            <w:proofErr w:type="spellEnd"/>
            <w:r>
              <w:rPr>
                <w:rFonts w:ascii="Times New Roman" w:eastAsia="Times New Roman" w:hAnsi="Times New Roman" w:cs="Times New Roman"/>
              </w:rPr>
              <w:t xml:space="preserve"> põlvedele edasi antud.</w:t>
            </w:r>
          </w:p>
        </w:tc>
      </w:tr>
    </w:tbl>
    <w:p w14:paraId="5B61CA5D" w14:textId="77777777" w:rsidR="008312AA" w:rsidRDefault="008312AA">
      <w:pPr>
        <w:spacing w:line="276" w:lineRule="auto"/>
        <w:rPr>
          <w:rFonts w:ascii="Times New Roman" w:eastAsia="Times New Roman" w:hAnsi="Times New Roman" w:cs="Times New Roman"/>
        </w:rPr>
      </w:pPr>
    </w:p>
    <w:tbl>
      <w:tblPr>
        <w:tblW w:w="9147" w:type="dxa"/>
        <w:tblInd w:w="-85" w:type="dxa"/>
        <w:tblLayout w:type="fixed"/>
        <w:tblCellMar>
          <w:top w:w="100" w:type="dxa"/>
          <w:left w:w="100" w:type="dxa"/>
          <w:bottom w:w="100" w:type="dxa"/>
          <w:right w:w="100" w:type="dxa"/>
        </w:tblCellMar>
        <w:tblLook w:val="0600" w:firstRow="0" w:lastRow="0" w:firstColumn="0" w:lastColumn="0" w:noHBand="1" w:noVBand="1"/>
      </w:tblPr>
      <w:tblGrid>
        <w:gridCol w:w="3195"/>
        <w:gridCol w:w="2730"/>
        <w:gridCol w:w="3222"/>
      </w:tblGrid>
      <w:tr w:rsidR="008312AA" w14:paraId="0EE50BFF" w14:textId="77777777">
        <w:trPr>
          <w:trHeight w:val="620"/>
        </w:trPr>
        <w:tc>
          <w:tcPr>
            <w:tcW w:w="3195" w:type="dxa"/>
            <w:tcBorders>
              <w:top w:val="single" w:sz="8" w:space="0" w:color="000000"/>
              <w:left w:val="single" w:sz="8" w:space="0" w:color="000000"/>
              <w:bottom w:val="single" w:sz="8" w:space="0" w:color="000000"/>
              <w:right w:val="single" w:sz="8" w:space="0" w:color="000000"/>
            </w:tcBorders>
            <w:shd w:val="clear" w:color="auto" w:fill="C2F2F8"/>
          </w:tcPr>
          <w:p w14:paraId="519D2807"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2730" w:type="dxa"/>
            <w:tcBorders>
              <w:top w:val="single" w:sz="8" w:space="0" w:color="000000"/>
              <w:bottom w:val="single" w:sz="8" w:space="0" w:color="000000"/>
              <w:right w:val="single" w:sz="8" w:space="0" w:color="000000"/>
            </w:tcBorders>
            <w:shd w:val="clear" w:color="auto" w:fill="C2F2F8"/>
          </w:tcPr>
          <w:p w14:paraId="15157102"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2027</w:t>
            </w:r>
          </w:p>
        </w:tc>
        <w:tc>
          <w:tcPr>
            <w:tcW w:w="3222" w:type="dxa"/>
            <w:tcBorders>
              <w:top w:val="single" w:sz="8" w:space="0" w:color="000000"/>
              <w:bottom w:val="single" w:sz="8" w:space="0" w:color="000000"/>
              <w:right w:val="single" w:sz="8" w:space="0" w:color="000000"/>
            </w:tcBorders>
            <w:shd w:val="clear" w:color="auto" w:fill="C2F2F8"/>
          </w:tcPr>
          <w:p w14:paraId="729D12BF"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2027</w:t>
            </w:r>
          </w:p>
        </w:tc>
      </w:tr>
      <w:tr w:rsidR="008312AA" w14:paraId="6F614F3B" w14:textId="77777777">
        <w:trPr>
          <w:trHeight w:val="905"/>
        </w:trPr>
        <w:tc>
          <w:tcPr>
            <w:tcW w:w="3195" w:type="dxa"/>
            <w:tcBorders>
              <w:left w:val="single" w:sz="8" w:space="0" w:color="000000"/>
              <w:bottom w:val="single" w:sz="8" w:space="0" w:color="000000"/>
              <w:right w:val="single" w:sz="8" w:space="0" w:color="000000"/>
            </w:tcBorders>
          </w:tcPr>
          <w:p w14:paraId="0409EA9D"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Rannaalade, vee ja kalandusega seotud avaliku taristu arendamine kohalike elanike heaolu ning turismi- ja rekreatsioonivajaduste rahuldamiseks</w:t>
            </w:r>
          </w:p>
          <w:p w14:paraId="0B7A4CA0" w14:textId="77777777"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t xml:space="preserve">Kalandus- ja merendustraditsioonide edendamine ja kalanduspiirkonna traditsiooniliste </w:t>
            </w:r>
            <w:proofErr w:type="spellStart"/>
            <w:r>
              <w:rPr>
                <w:rFonts w:ascii="Times New Roman" w:eastAsia="Times New Roman" w:hAnsi="Times New Roman" w:cs="Times New Roman"/>
              </w:rPr>
              <w:t>ürituste</w:t>
            </w:r>
            <w:proofErr w:type="spellEnd"/>
            <w:r>
              <w:rPr>
                <w:rFonts w:ascii="Times New Roman" w:eastAsia="Times New Roman" w:hAnsi="Times New Roman" w:cs="Times New Roman"/>
              </w:rPr>
              <w:t xml:space="preserve"> korraldamine</w:t>
            </w:r>
          </w:p>
          <w:p w14:paraId="6DDA4374" w14:textId="77777777"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t>Kalanduspiirkonda tutvustavate infokandjate väljaandmine</w:t>
            </w:r>
          </w:p>
          <w:p w14:paraId="695AB538" w14:textId="77777777" w:rsidR="008312AA" w:rsidRDefault="008312AA">
            <w:pPr>
              <w:spacing w:before="240" w:after="240" w:line="276" w:lineRule="auto"/>
              <w:jc w:val="left"/>
              <w:rPr>
                <w:rFonts w:ascii="Times New Roman" w:eastAsia="Times New Roman" w:hAnsi="Times New Roman" w:cs="Times New Roman"/>
              </w:rPr>
            </w:pPr>
          </w:p>
          <w:p w14:paraId="57E71DC1" w14:textId="77777777" w:rsidR="008312AA" w:rsidRDefault="00000000">
            <w:pPr>
              <w:spacing w:before="240" w:after="240" w:line="276" w:lineRule="auto"/>
              <w:jc w:val="left"/>
              <w:rPr>
                <w:rFonts w:ascii="Times New Roman" w:eastAsia="Times New Roman" w:hAnsi="Times New Roman" w:cs="Times New Roman"/>
              </w:rPr>
            </w:pPr>
            <w:r>
              <w:rPr>
                <w:rFonts w:ascii="Times New Roman" w:eastAsia="Times New Roman" w:hAnsi="Times New Roman" w:cs="Times New Roman"/>
              </w:rPr>
              <w:t>Keskkonnasäästlike (taastuv)energia lahenduste kasutusele võtmine</w:t>
            </w:r>
          </w:p>
        </w:tc>
        <w:tc>
          <w:tcPr>
            <w:tcW w:w="2730" w:type="dxa"/>
            <w:tcBorders>
              <w:bottom w:val="single" w:sz="8" w:space="0" w:color="000000"/>
              <w:right w:val="single" w:sz="8" w:space="0" w:color="000000"/>
            </w:tcBorders>
          </w:tcPr>
          <w:p w14:paraId="586D4AFB"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Uute/ parendatud turismi- ja rekreatsioonitaristu objektide arv (siht: 5)</w:t>
            </w:r>
          </w:p>
          <w:p w14:paraId="73E25F2A" w14:textId="77777777" w:rsidR="008312AA" w:rsidRDefault="008312AA">
            <w:pPr>
              <w:spacing w:before="300" w:line="276" w:lineRule="auto"/>
              <w:jc w:val="left"/>
              <w:rPr>
                <w:rFonts w:ascii="Times New Roman" w:eastAsia="Times New Roman" w:hAnsi="Times New Roman" w:cs="Times New Roman"/>
              </w:rPr>
            </w:pPr>
          </w:p>
          <w:p w14:paraId="4E69C23F" w14:textId="77777777" w:rsidR="008312AA" w:rsidRDefault="008312AA">
            <w:pPr>
              <w:spacing w:before="300" w:line="276" w:lineRule="auto"/>
              <w:jc w:val="left"/>
              <w:rPr>
                <w:rFonts w:ascii="Times New Roman" w:eastAsia="Times New Roman" w:hAnsi="Times New Roman" w:cs="Times New Roman"/>
              </w:rPr>
            </w:pPr>
          </w:p>
          <w:p w14:paraId="4A4DCB9E"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Ürituste arv (siht 5 aastas)</w:t>
            </w:r>
          </w:p>
          <w:p w14:paraId="25895959"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Osalejate arv (siht: 1000 aastas)</w:t>
            </w:r>
          </w:p>
          <w:p w14:paraId="213562DB"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Piirkonda tutvustavad infokandjad (siht: 4)</w:t>
            </w:r>
          </w:p>
          <w:p w14:paraId="181E35E4" w14:textId="77777777" w:rsidR="008312AA" w:rsidRDefault="008312AA">
            <w:pPr>
              <w:spacing w:before="300" w:line="276" w:lineRule="auto"/>
              <w:jc w:val="left"/>
              <w:rPr>
                <w:rFonts w:ascii="Times New Roman" w:eastAsia="Times New Roman" w:hAnsi="Times New Roman" w:cs="Times New Roman"/>
              </w:rPr>
            </w:pPr>
          </w:p>
          <w:p w14:paraId="5A06267F"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Kasutusele võetud kW-d</w:t>
            </w:r>
          </w:p>
        </w:tc>
        <w:tc>
          <w:tcPr>
            <w:tcW w:w="3222" w:type="dxa"/>
            <w:tcBorders>
              <w:bottom w:val="single" w:sz="8" w:space="0" w:color="000000"/>
              <w:right w:val="single" w:sz="8" w:space="0" w:color="000000"/>
            </w:tcBorders>
          </w:tcPr>
          <w:p w14:paraId="38FFB898" w14:textId="77777777" w:rsidR="008312AA" w:rsidRDefault="008312AA">
            <w:pPr>
              <w:spacing w:before="300" w:line="276" w:lineRule="auto"/>
              <w:jc w:val="left"/>
              <w:rPr>
                <w:rFonts w:ascii="Times New Roman" w:eastAsia="Times New Roman" w:hAnsi="Times New Roman" w:cs="Times New Roman"/>
              </w:rPr>
            </w:pPr>
          </w:p>
          <w:p w14:paraId="45596C9F" w14:textId="77777777" w:rsidR="008312AA" w:rsidRDefault="008312AA">
            <w:pPr>
              <w:spacing w:before="300" w:line="276" w:lineRule="auto"/>
              <w:jc w:val="left"/>
              <w:rPr>
                <w:rFonts w:ascii="Times New Roman" w:eastAsia="Times New Roman" w:hAnsi="Times New Roman" w:cs="Times New Roman"/>
              </w:rPr>
            </w:pPr>
          </w:p>
          <w:p w14:paraId="12A8DB98" w14:textId="77777777" w:rsidR="008312AA" w:rsidRDefault="008312AA">
            <w:pPr>
              <w:spacing w:before="300" w:line="276" w:lineRule="auto"/>
              <w:jc w:val="left"/>
              <w:rPr>
                <w:rFonts w:ascii="Times New Roman" w:eastAsia="Times New Roman" w:hAnsi="Times New Roman" w:cs="Times New Roman"/>
              </w:rPr>
            </w:pPr>
          </w:p>
          <w:p w14:paraId="72FD02CC" w14:textId="77777777" w:rsidR="008312AA" w:rsidRDefault="00000000">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 xml:space="preserve">Toetust saanud projektide arv kokku </w:t>
            </w:r>
          </w:p>
        </w:tc>
      </w:tr>
    </w:tbl>
    <w:p w14:paraId="032985D8" w14:textId="77777777" w:rsidR="008312AA" w:rsidRDefault="008312AA">
      <w:pPr>
        <w:spacing w:line="276" w:lineRule="auto"/>
        <w:rPr>
          <w:rFonts w:ascii="Times New Roman" w:eastAsia="Times New Roman" w:hAnsi="Times New Roman" w:cs="Times New Roman"/>
        </w:rPr>
      </w:pPr>
    </w:p>
    <w:p w14:paraId="6B00693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Toetatavad tegevused: </w:t>
      </w:r>
      <w:r>
        <w:rPr>
          <w:rFonts w:ascii="Times New Roman" w:eastAsia="Times New Roman" w:hAnsi="Times New Roman" w:cs="Times New Roman"/>
        </w:rPr>
        <w:t xml:space="preserve">tegevussuuna alt toetatakse projekte, mis panustavad ranna- ja kalanduskogukondade identiteedi tugevdamisse, populariseerivad ja tutvustavad kalandust laiemale avalikkusele ning säilitavad ja edendavad kalandus- ja merendusalast kultuuripärandit. Sellisteks tegevusteks on näiteks ajalooliste lautrite korrastamine ning kasutuselevõtmine; kalandust ja merendust s.h kohalikke kalasadamaid tutvustavate sündmuste korraldamine, </w:t>
      </w:r>
      <w:r>
        <w:rPr>
          <w:rFonts w:ascii="Times New Roman" w:eastAsia="Times New Roman" w:hAnsi="Times New Roman" w:cs="Times New Roman"/>
        </w:rPr>
        <w:lastRenderedPageBreak/>
        <w:t>rannaalade, vee ja kalandusega seotud avaliku taristu arendamine kohalike elanike heaolu ning turismi- ja rekreatsioonivajaduste rahuldamiseks, sh süsinikuneutraalsete energiaallikate kasutuselevõtt ja kalandus/ merendusalaste huvihariduslike laagrite, õpitubade ja koolituste korraldamine. Kalanduse ja merenduse traditsioonide säilitamise tegevuste alla lähevad  näiteks trüki-, video- ja audiokandjate loomine ja eksponeerimine, kalandus- ja merendusalaste püsiekspositsioonide loomine jms.</w:t>
      </w:r>
    </w:p>
    <w:p w14:paraId="09D224BA" w14:textId="5078B0DC"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Oluline on toetada ka investeer</w:t>
      </w:r>
      <w:r w:rsidR="00BA314C">
        <w:rPr>
          <w:rFonts w:ascii="Times New Roman" w:eastAsia="Times New Roman" w:hAnsi="Times New Roman" w:cs="Times New Roman"/>
        </w:rPr>
        <w:t>i</w:t>
      </w:r>
      <w:r>
        <w:rPr>
          <w:rFonts w:ascii="Times New Roman" w:eastAsia="Times New Roman" w:hAnsi="Times New Roman" w:cs="Times New Roman"/>
        </w:rPr>
        <w:t>nguid, mis panustavad ranna- ja kalanduskogu</w:t>
      </w:r>
      <w:r w:rsidR="00BA314C">
        <w:rPr>
          <w:rFonts w:ascii="Times New Roman" w:eastAsia="Times New Roman" w:hAnsi="Times New Roman" w:cs="Times New Roman"/>
        </w:rPr>
        <w:t>k</w:t>
      </w:r>
      <w:r>
        <w:rPr>
          <w:rFonts w:ascii="Times New Roman" w:eastAsia="Times New Roman" w:hAnsi="Times New Roman" w:cs="Times New Roman"/>
        </w:rPr>
        <w:t>ondade sotsiaalse heaolu tõstmisesse s.h toetatakse kooskäimise kohtade ja rekreatsioonialade loomist (k.a. sadamate piirkonnas) ning taastamist, vanade traditsioonide säilitamist/ talletamist ja uute loomist, kala, s.h. kohaliku kala tarbimist populariseerivaid ettevõtmisi/koolitusi/teabepäevi, mereohutusele keskendunud ettevõtmisi jms, samuti erinevaid kala, kalasadamaid ja merendust üldiselt populariseerivaid sündmusi.</w:t>
      </w:r>
    </w:p>
    <w:p w14:paraId="6369A1C1" w14:textId="77777777" w:rsidR="00F540EA" w:rsidRPr="00F540EA" w:rsidRDefault="00F540EA">
      <w:pPr>
        <w:spacing w:line="276" w:lineRule="auto"/>
        <w:rPr>
          <w:rFonts w:ascii="Times New Roman" w:hAnsi="Times New Roman" w:cs="Times New Roman"/>
        </w:rPr>
      </w:pPr>
      <w:r w:rsidRPr="00F540EA">
        <w:rPr>
          <w:rFonts w:ascii="Times New Roman" w:hAnsi="Times New Roman" w:cs="Times New Roman"/>
        </w:rPr>
        <w:t xml:space="preserve">Eesti merenduspoliitika üheks prioriteediks on, et rannaäärne elu- ja külastuskeskkond on atraktiivne, soodustades mereturismi ja kohaliku ettevõtluse arengut, merekultuuripärandit kantakse edasi. Kitsaskohana on välja toodud, et: </w:t>
      </w:r>
    </w:p>
    <w:p w14:paraId="57AA2DC8" w14:textId="2BCB608C" w:rsidR="00F540EA" w:rsidRPr="00F540EA" w:rsidRDefault="00F540EA" w:rsidP="00F540EA">
      <w:pPr>
        <w:pStyle w:val="Loendilik"/>
        <w:numPr>
          <w:ilvl w:val="0"/>
          <w:numId w:val="37"/>
        </w:numPr>
        <w:spacing w:line="276" w:lineRule="auto"/>
        <w:rPr>
          <w:rFonts w:ascii="Times New Roman" w:hAnsi="Times New Roman" w:cs="Times New Roman"/>
        </w:rPr>
      </w:pPr>
      <w:r w:rsidRPr="00F540EA">
        <w:rPr>
          <w:rFonts w:ascii="Times New Roman" w:hAnsi="Times New Roman" w:cs="Times New Roman"/>
        </w:rPr>
        <w:t xml:space="preserve">turismiteenused ja pakutavad turismipaketid vähe seotud kalapüügi ja kalatöötlemisega, mis võib olla tingitud ettevõtjate vähesest omavahelisest koostööst; </w:t>
      </w:r>
    </w:p>
    <w:p w14:paraId="60C46C64" w14:textId="0E95CC64" w:rsidR="00F540EA" w:rsidRPr="00F540EA" w:rsidRDefault="00F540EA" w:rsidP="00F540EA">
      <w:pPr>
        <w:pStyle w:val="Loendilik"/>
        <w:numPr>
          <w:ilvl w:val="0"/>
          <w:numId w:val="37"/>
        </w:numPr>
        <w:spacing w:line="276" w:lineRule="auto"/>
        <w:rPr>
          <w:rFonts w:ascii="Times New Roman" w:hAnsi="Times New Roman" w:cs="Times New Roman"/>
        </w:rPr>
      </w:pPr>
      <w:r w:rsidRPr="00F540EA">
        <w:rPr>
          <w:rFonts w:ascii="Times New Roman" w:hAnsi="Times New Roman" w:cs="Times New Roman"/>
        </w:rPr>
        <w:t xml:space="preserve">mereturismi potentsiaali kasutatakse vähe, mida mõjutab infrastruktuuri ebapiisavus ja kohati halb seisukord (sadamad/lautrid ja sadamarajatised, turismiasutuste materiaalne baas); </w:t>
      </w:r>
    </w:p>
    <w:p w14:paraId="41CF2C39" w14:textId="2D790C19" w:rsidR="00F540EA" w:rsidRPr="00F540EA" w:rsidRDefault="00F540EA" w:rsidP="00F540EA">
      <w:pPr>
        <w:pStyle w:val="Loendilik"/>
        <w:numPr>
          <w:ilvl w:val="0"/>
          <w:numId w:val="37"/>
        </w:numPr>
        <w:spacing w:line="276" w:lineRule="auto"/>
        <w:rPr>
          <w:rFonts w:ascii="Times New Roman" w:eastAsia="Times New Roman" w:hAnsi="Times New Roman" w:cs="Times New Roman"/>
        </w:rPr>
      </w:pPr>
      <w:r w:rsidRPr="00F540EA">
        <w:rPr>
          <w:rFonts w:ascii="Times New Roman" w:hAnsi="Times New Roman" w:cs="Times New Roman"/>
        </w:rPr>
        <w:t>arengut pärsib ka tarbijate ja teenindajate nappus, atraktsioonide vähesus ning puudulik infrastruktuur.</w:t>
      </w:r>
      <w:r w:rsidRPr="00F540EA">
        <w:rPr>
          <w:rStyle w:val="Allmrkuseviide"/>
          <w:rFonts w:ascii="Times New Roman" w:hAnsi="Times New Roman" w:cs="Times New Roman"/>
        </w:rPr>
        <w:footnoteReference w:id="64"/>
      </w:r>
    </w:p>
    <w:p w14:paraId="5DD7BCC6"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Toetatavate tegevuste kirjeldus täpsemalt:</w:t>
      </w:r>
    </w:p>
    <w:p w14:paraId="3871E387" w14:textId="77777777" w:rsidR="008312AA" w:rsidRPr="00E3093D" w:rsidRDefault="00000000" w:rsidP="00E3093D">
      <w:pPr>
        <w:pStyle w:val="Loendilik"/>
        <w:numPr>
          <w:ilvl w:val="0"/>
          <w:numId w:val="36"/>
        </w:numPr>
        <w:spacing w:before="240" w:after="240" w:line="276" w:lineRule="auto"/>
        <w:rPr>
          <w:rFonts w:ascii="Times New Roman" w:eastAsia="Times New Roman" w:hAnsi="Times New Roman" w:cs="Times New Roman"/>
        </w:rPr>
      </w:pPr>
      <w:r w:rsidRPr="00E3093D">
        <w:rPr>
          <w:rFonts w:ascii="Times New Roman" w:eastAsia="Times New Roman" w:hAnsi="Times New Roman" w:cs="Times New Roman"/>
        </w:rPr>
        <w:t xml:space="preserve">Kalandus- ja merendustraditsioonide edendamine – laste ja noorte kalanduse- ja meresõidu traditsioonide, reeglite ja tavade koolitamine ning õppelaagrite korraldamine, õppevahendite soetamine ja õpitingimuste loomine merenduse- ja kalandusvaldkonna </w:t>
      </w:r>
      <w:proofErr w:type="spellStart"/>
      <w:r w:rsidRPr="00E3093D">
        <w:rPr>
          <w:rFonts w:ascii="Times New Roman" w:eastAsia="Times New Roman" w:hAnsi="Times New Roman" w:cs="Times New Roman"/>
        </w:rPr>
        <w:t>jätkusuutlikuse</w:t>
      </w:r>
      <w:proofErr w:type="spellEnd"/>
      <w:r w:rsidRPr="00E3093D">
        <w:rPr>
          <w:rFonts w:ascii="Times New Roman" w:eastAsia="Times New Roman" w:hAnsi="Times New Roman" w:cs="Times New Roman"/>
        </w:rPr>
        <w:t xml:space="preserve"> tagamiseks.</w:t>
      </w:r>
    </w:p>
    <w:p w14:paraId="04328598" w14:textId="77777777" w:rsidR="008312AA" w:rsidRPr="00E3093D" w:rsidRDefault="00000000" w:rsidP="00E3093D">
      <w:pPr>
        <w:pStyle w:val="Loendilik"/>
        <w:numPr>
          <w:ilvl w:val="0"/>
          <w:numId w:val="36"/>
        </w:numPr>
        <w:spacing w:before="240" w:after="240" w:line="276" w:lineRule="auto"/>
        <w:rPr>
          <w:rFonts w:ascii="Times New Roman" w:eastAsia="Times New Roman" w:hAnsi="Times New Roman" w:cs="Times New Roman"/>
        </w:rPr>
      </w:pPr>
      <w:r w:rsidRPr="00E3093D">
        <w:rPr>
          <w:rFonts w:ascii="Times New Roman" w:eastAsia="Times New Roman" w:hAnsi="Times New Roman" w:cs="Times New Roman"/>
        </w:rPr>
        <w:t xml:space="preserve">Kalanduspiirkonna traditsiooniliste </w:t>
      </w:r>
      <w:proofErr w:type="spellStart"/>
      <w:r w:rsidRPr="00E3093D">
        <w:rPr>
          <w:rFonts w:ascii="Times New Roman" w:eastAsia="Times New Roman" w:hAnsi="Times New Roman" w:cs="Times New Roman"/>
        </w:rPr>
        <w:t>ürituste</w:t>
      </w:r>
      <w:proofErr w:type="spellEnd"/>
      <w:r w:rsidRPr="00E3093D">
        <w:rPr>
          <w:rFonts w:ascii="Times New Roman" w:eastAsia="Times New Roman" w:hAnsi="Times New Roman" w:cs="Times New Roman"/>
        </w:rPr>
        <w:t xml:space="preserve"> korraldamine, kala </w:t>
      </w:r>
      <w:proofErr w:type="spellStart"/>
      <w:r w:rsidRPr="00E3093D">
        <w:rPr>
          <w:rFonts w:ascii="Times New Roman" w:eastAsia="Times New Roman" w:hAnsi="Times New Roman" w:cs="Times New Roman"/>
        </w:rPr>
        <w:t>õpitoad</w:t>
      </w:r>
      <w:proofErr w:type="spellEnd"/>
      <w:r w:rsidRPr="00E3093D">
        <w:rPr>
          <w:rFonts w:ascii="Times New Roman" w:eastAsia="Times New Roman" w:hAnsi="Times New Roman" w:cs="Times New Roman"/>
        </w:rPr>
        <w:t xml:space="preserve">, </w:t>
      </w:r>
      <w:proofErr w:type="spellStart"/>
      <w:r w:rsidRPr="00E3093D">
        <w:rPr>
          <w:rFonts w:ascii="Times New Roman" w:eastAsia="Times New Roman" w:hAnsi="Times New Roman" w:cs="Times New Roman"/>
        </w:rPr>
        <w:t>trükised</w:t>
      </w:r>
      <w:proofErr w:type="spellEnd"/>
      <w:r w:rsidRPr="00E3093D">
        <w:rPr>
          <w:rFonts w:ascii="Times New Roman" w:eastAsia="Times New Roman" w:hAnsi="Times New Roman" w:cs="Times New Roman"/>
        </w:rPr>
        <w:t xml:space="preserve"> (merendus/kalandus temaatika), </w:t>
      </w:r>
      <w:proofErr w:type="spellStart"/>
      <w:r w:rsidRPr="00E3093D">
        <w:rPr>
          <w:rFonts w:ascii="Times New Roman" w:eastAsia="Times New Roman" w:hAnsi="Times New Roman" w:cs="Times New Roman"/>
        </w:rPr>
        <w:t>õppefilmid</w:t>
      </w:r>
      <w:proofErr w:type="spellEnd"/>
      <w:r w:rsidRPr="00E3093D">
        <w:rPr>
          <w:rFonts w:ascii="Times New Roman" w:eastAsia="Times New Roman" w:hAnsi="Times New Roman" w:cs="Times New Roman"/>
        </w:rPr>
        <w:t xml:space="preserve">, digilahenduste </w:t>
      </w:r>
      <w:proofErr w:type="spellStart"/>
      <w:r w:rsidRPr="00E3093D">
        <w:rPr>
          <w:rFonts w:ascii="Times New Roman" w:eastAsia="Times New Roman" w:hAnsi="Times New Roman" w:cs="Times New Roman"/>
        </w:rPr>
        <w:t>kasutuselevõtmine</w:t>
      </w:r>
      <w:proofErr w:type="spellEnd"/>
      <w:r w:rsidRPr="00E3093D">
        <w:rPr>
          <w:rFonts w:ascii="Times New Roman" w:eastAsia="Times New Roman" w:hAnsi="Times New Roman" w:cs="Times New Roman"/>
        </w:rPr>
        <w:t xml:space="preserve"> kalanduspiirkonna tutvustamiseks.</w:t>
      </w:r>
    </w:p>
    <w:p w14:paraId="213BB9A4" w14:textId="77777777" w:rsidR="008312AA" w:rsidRPr="00E3093D" w:rsidRDefault="00000000" w:rsidP="00E3093D">
      <w:pPr>
        <w:pStyle w:val="Loendilik"/>
        <w:numPr>
          <w:ilvl w:val="0"/>
          <w:numId w:val="36"/>
        </w:numPr>
        <w:spacing w:before="240" w:after="240" w:line="276" w:lineRule="auto"/>
        <w:rPr>
          <w:rFonts w:ascii="Times New Roman" w:eastAsia="Times New Roman" w:hAnsi="Times New Roman" w:cs="Times New Roman"/>
        </w:rPr>
      </w:pPr>
      <w:r w:rsidRPr="00E3093D">
        <w:rPr>
          <w:rFonts w:ascii="Times New Roman" w:eastAsia="Times New Roman" w:hAnsi="Times New Roman" w:cs="Times New Roman"/>
        </w:rPr>
        <w:t>Mere- ja rannakalandusega seotud kultuuripärandi säilitamine</w:t>
      </w:r>
      <w:r w:rsidRPr="00E3093D">
        <w:rPr>
          <w:rFonts w:ascii="Times New Roman" w:eastAsia="Times New Roman" w:hAnsi="Times New Roman" w:cs="Times New Roman"/>
          <w:b/>
        </w:rPr>
        <w:t xml:space="preserve"> - </w:t>
      </w:r>
      <w:r w:rsidRPr="00E3093D">
        <w:rPr>
          <w:rFonts w:ascii="Times New Roman" w:eastAsia="Times New Roman" w:hAnsi="Times New Roman" w:cs="Times New Roman"/>
        </w:rPr>
        <w:t xml:space="preserve">traditsiooniliste kalurihoonete/ sadamahoonete taastamine ja seal kalandus- ja merendustraditsioonide tutvustamist võimaldavate teenuste väljaarendamine, avalike puhkealade ja kooskäimiskohtade rajamine, kalapüügitraditsioone, </w:t>
      </w:r>
      <w:proofErr w:type="spellStart"/>
      <w:r w:rsidRPr="00E3093D">
        <w:rPr>
          <w:rFonts w:ascii="Times New Roman" w:eastAsia="Times New Roman" w:hAnsi="Times New Roman" w:cs="Times New Roman"/>
        </w:rPr>
        <w:t>rannakalanduse</w:t>
      </w:r>
      <w:proofErr w:type="spellEnd"/>
      <w:r w:rsidRPr="00E3093D">
        <w:rPr>
          <w:rFonts w:ascii="Times New Roman" w:eastAsia="Times New Roman" w:hAnsi="Times New Roman" w:cs="Times New Roman"/>
        </w:rPr>
        <w:t xml:space="preserve"> traditsioone ja sadamate ajalugu tutvustavate raamatute, trükiste väljaandmine, </w:t>
      </w:r>
      <w:proofErr w:type="spellStart"/>
      <w:r w:rsidRPr="00E3093D">
        <w:rPr>
          <w:rFonts w:ascii="Times New Roman" w:eastAsia="Times New Roman" w:hAnsi="Times New Roman" w:cs="Times New Roman"/>
        </w:rPr>
        <w:t>kaluritepäeva</w:t>
      </w:r>
      <w:proofErr w:type="spellEnd"/>
      <w:r w:rsidRPr="00E3093D">
        <w:rPr>
          <w:rFonts w:ascii="Times New Roman" w:eastAsia="Times New Roman" w:hAnsi="Times New Roman" w:cs="Times New Roman"/>
        </w:rPr>
        <w:t xml:space="preserve"> tähistamine, rannarahva päeva tähistamine jms.</w:t>
      </w:r>
    </w:p>
    <w:p w14:paraId="0B4D7C82"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Teave toetuse saaja ja projektitoetuse maksimaalsete määrade kohta on leitav määrusest „Perioodi 2021-2027 kogukonna juhitud kohaliku arengu strateegia.“ </w:t>
      </w:r>
    </w:p>
    <w:p w14:paraId="36AE35FC" w14:textId="77777777" w:rsidR="008312AA" w:rsidRDefault="008312AA">
      <w:pPr>
        <w:spacing w:before="240" w:after="240" w:line="276" w:lineRule="auto"/>
        <w:rPr>
          <w:rFonts w:ascii="Times New Roman" w:eastAsia="Times New Roman" w:hAnsi="Times New Roman" w:cs="Times New Roman"/>
        </w:rPr>
      </w:pPr>
    </w:p>
    <w:p w14:paraId="5459C536"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5" w:name="_Toc157420964"/>
      <w:r>
        <w:rPr>
          <w:rFonts w:ascii="Times New Roman" w:eastAsia="Times New Roman" w:hAnsi="Times New Roman" w:cs="Times New Roman"/>
          <w:color w:val="7030A0"/>
          <w:sz w:val="28"/>
          <w:szCs w:val="28"/>
        </w:rPr>
        <w:t>4.6. Tegevussuund 6: Kalurite teadmiste ja oskuste edendamine</w:t>
      </w:r>
      <w:bookmarkEnd w:id="65"/>
    </w:p>
    <w:p w14:paraId="12EF7918" w14:textId="77777777" w:rsidR="008312AA" w:rsidRDefault="008312AA"/>
    <w:tbl>
      <w:tblPr>
        <w:tblStyle w:val="Kontuurtabel"/>
        <w:tblW w:w="9062" w:type="dxa"/>
        <w:tblLayout w:type="fixed"/>
        <w:tblLook w:val="04A0" w:firstRow="1" w:lastRow="0" w:firstColumn="1" w:lastColumn="0" w:noHBand="0" w:noVBand="1"/>
      </w:tblPr>
      <w:tblGrid>
        <w:gridCol w:w="9062"/>
      </w:tblGrid>
      <w:tr w:rsidR="008312AA" w14:paraId="4D1BA767" w14:textId="77777777">
        <w:tc>
          <w:tcPr>
            <w:tcW w:w="9062" w:type="dxa"/>
            <w:shd w:val="clear" w:color="auto" w:fill="C2F2F8"/>
          </w:tcPr>
          <w:p w14:paraId="0805445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Rakendamise põhjendus:</w:t>
            </w:r>
            <w:r>
              <w:rPr>
                <w:rFonts w:ascii="Times New Roman" w:eastAsia="Times New Roman" w:hAnsi="Times New Roman" w:cs="Times New Roman"/>
              </w:rPr>
              <w:t xml:space="preserve"> kalanduspiirkonna jätkusuutliku tegevuse tagamiseks on oluline haritud, uuendusmeelne ja ettevõtlik kalurkond.</w:t>
            </w:r>
          </w:p>
        </w:tc>
      </w:tr>
    </w:tbl>
    <w:p w14:paraId="38F2068A"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4F7CFC04" w14:textId="77777777">
        <w:tc>
          <w:tcPr>
            <w:tcW w:w="9062" w:type="dxa"/>
            <w:shd w:val="clear" w:color="auto" w:fill="FFCCCC"/>
          </w:tcPr>
          <w:p w14:paraId="37F1BA1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Eesmärk: </w:t>
            </w:r>
            <w:r>
              <w:rPr>
                <w:rFonts w:ascii="Times New Roman" w:eastAsia="Times New Roman" w:hAnsi="Times New Roman" w:cs="Times New Roman"/>
              </w:rPr>
              <w:t>Saaremaa rannakaluritel on olemas vajalikud teadmised ja oskused, et saada aastaringset teenistust ilma, et nad peaksid kaluri ametist loobuma.</w:t>
            </w:r>
          </w:p>
        </w:tc>
      </w:tr>
    </w:tbl>
    <w:p w14:paraId="08DD025E" w14:textId="77777777" w:rsidR="008312AA" w:rsidRDefault="008312AA">
      <w:pPr>
        <w:spacing w:line="276" w:lineRule="auto"/>
        <w:rPr>
          <w:rFonts w:ascii="Times New Roman" w:eastAsia="Times New Roman" w:hAnsi="Times New Roman" w:cs="Times New Roman"/>
        </w:rPr>
      </w:pPr>
    </w:p>
    <w:tbl>
      <w:tblPr>
        <w:tblW w:w="9162" w:type="dxa"/>
        <w:tblInd w:w="-100" w:type="dxa"/>
        <w:tblLayout w:type="fixed"/>
        <w:tblCellMar>
          <w:top w:w="100" w:type="dxa"/>
          <w:left w:w="100" w:type="dxa"/>
          <w:bottom w:w="100" w:type="dxa"/>
          <w:right w:w="100" w:type="dxa"/>
        </w:tblCellMar>
        <w:tblLook w:val="0600" w:firstRow="0" w:lastRow="0" w:firstColumn="0" w:lastColumn="0" w:noHBand="1" w:noVBand="1"/>
      </w:tblPr>
      <w:tblGrid>
        <w:gridCol w:w="3015"/>
        <w:gridCol w:w="2714"/>
        <w:gridCol w:w="3433"/>
      </w:tblGrid>
      <w:tr w:rsidR="008312AA" w14:paraId="6E1A660E" w14:textId="77777777">
        <w:trPr>
          <w:trHeight w:val="620"/>
        </w:trPr>
        <w:tc>
          <w:tcPr>
            <w:tcW w:w="3015" w:type="dxa"/>
            <w:tcBorders>
              <w:top w:val="single" w:sz="8" w:space="0" w:color="000000"/>
              <w:left w:val="single" w:sz="8" w:space="0" w:color="000000"/>
              <w:bottom w:val="single" w:sz="8" w:space="0" w:color="000000"/>
              <w:right w:val="single" w:sz="8" w:space="0" w:color="000000"/>
            </w:tcBorders>
            <w:shd w:val="clear" w:color="auto" w:fill="C2F2F8"/>
          </w:tcPr>
          <w:p w14:paraId="21B08C9E"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Mõõdik</w:t>
            </w:r>
          </w:p>
        </w:tc>
        <w:tc>
          <w:tcPr>
            <w:tcW w:w="2714" w:type="dxa"/>
            <w:tcBorders>
              <w:top w:val="single" w:sz="8" w:space="0" w:color="000000"/>
              <w:bottom w:val="single" w:sz="8" w:space="0" w:color="000000"/>
              <w:right w:val="single" w:sz="8" w:space="0" w:color="000000"/>
            </w:tcBorders>
            <w:shd w:val="clear" w:color="auto" w:fill="C2F2F8"/>
          </w:tcPr>
          <w:p w14:paraId="0D0F5348"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Tulemusnäitajad  2027</w:t>
            </w:r>
          </w:p>
        </w:tc>
        <w:tc>
          <w:tcPr>
            <w:tcW w:w="3433" w:type="dxa"/>
            <w:tcBorders>
              <w:top w:val="single" w:sz="8" w:space="0" w:color="000000"/>
              <w:bottom w:val="single" w:sz="8" w:space="0" w:color="000000"/>
              <w:right w:val="single" w:sz="8" w:space="0" w:color="000000"/>
            </w:tcBorders>
            <w:shd w:val="clear" w:color="auto" w:fill="C2F2F8"/>
          </w:tcPr>
          <w:p w14:paraId="1FFAA861" w14:textId="77777777" w:rsidR="008312AA" w:rsidRDefault="00000000">
            <w:pPr>
              <w:spacing w:before="300" w:line="276" w:lineRule="auto"/>
              <w:rPr>
                <w:rFonts w:ascii="Times New Roman" w:eastAsia="Times New Roman" w:hAnsi="Times New Roman" w:cs="Times New Roman"/>
                <w:b/>
              </w:rPr>
            </w:pPr>
            <w:r>
              <w:rPr>
                <w:rFonts w:ascii="Times New Roman" w:eastAsia="Times New Roman" w:hAnsi="Times New Roman" w:cs="Times New Roman"/>
                <w:b/>
              </w:rPr>
              <w:t>Väljundnäitajad 2027</w:t>
            </w:r>
          </w:p>
        </w:tc>
      </w:tr>
      <w:tr w:rsidR="008312AA" w14:paraId="23A8D232" w14:textId="77777777">
        <w:trPr>
          <w:trHeight w:val="620"/>
        </w:trPr>
        <w:tc>
          <w:tcPr>
            <w:tcW w:w="3015" w:type="dxa"/>
            <w:tcBorders>
              <w:left w:val="single" w:sz="8" w:space="0" w:color="000000"/>
              <w:bottom w:val="single" w:sz="8" w:space="0" w:color="000000"/>
              <w:right w:val="single" w:sz="8" w:space="0" w:color="000000"/>
            </w:tcBorders>
          </w:tcPr>
          <w:p w14:paraId="05CA189B" w14:textId="77777777" w:rsidR="008312AA" w:rsidRDefault="00000000" w:rsidP="004E74BA">
            <w:pPr>
              <w:spacing w:before="300" w:line="276" w:lineRule="auto"/>
              <w:jc w:val="left"/>
              <w:rPr>
                <w:rFonts w:ascii="Times New Roman" w:eastAsia="Times New Roman" w:hAnsi="Times New Roman" w:cs="Times New Roman"/>
              </w:rPr>
            </w:pPr>
            <w:proofErr w:type="spellStart"/>
            <w:r>
              <w:rPr>
                <w:rFonts w:ascii="Times New Roman" w:eastAsia="Times New Roman" w:hAnsi="Times New Roman" w:cs="Times New Roman"/>
              </w:rPr>
              <w:t>Üldharivatel</w:t>
            </w:r>
            <w:proofErr w:type="spellEnd"/>
            <w:r>
              <w:rPr>
                <w:rFonts w:ascii="Times New Roman" w:eastAsia="Times New Roman" w:hAnsi="Times New Roman" w:cs="Times New Roman"/>
              </w:rPr>
              <w:t xml:space="preserve"> koolitustel k.a. koolitusreisid osalenud kalurite arv</w:t>
            </w:r>
          </w:p>
        </w:tc>
        <w:tc>
          <w:tcPr>
            <w:tcW w:w="2714" w:type="dxa"/>
            <w:tcBorders>
              <w:bottom w:val="single" w:sz="8" w:space="0" w:color="000000"/>
              <w:right w:val="single" w:sz="8" w:space="0" w:color="000000"/>
            </w:tcBorders>
          </w:tcPr>
          <w:p w14:paraId="351EACFA" w14:textId="77777777" w:rsidR="008312AA" w:rsidRDefault="00000000">
            <w:pPr>
              <w:spacing w:before="300" w:line="276" w:lineRule="auto"/>
              <w:rPr>
                <w:rFonts w:ascii="Times New Roman" w:eastAsia="Times New Roman" w:hAnsi="Times New Roman" w:cs="Times New Roman"/>
              </w:rPr>
            </w:pPr>
            <w:r>
              <w:rPr>
                <w:rFonts w:ascii="Times New Roman" w:eastAsia="Times New Roman" w:hAnsi="Times New Roman" w:cs="Times New Roman"/>
              </w:rPr>
              <w:t>Läbiviidud koolituste arv (siht: 5)</w:t>
            </w:r>
          </w:p>
        </w:tc>
        <w:tc>
          <w:tcPr>
            <w:tcW w:w="3433" w:type="dxa"/>
            <w:tcBorders>
              <w:bottom w:val="single" w:sz="8" w:space="0" w:color="000000"/>
              <w:right w:val="single" w:sz="8" w:space="0" w:color="000000"/>
            </w:tcBorders>
          </w:tcPr>
          <w:p w14:paraId="74DED546" w14:textId="77777777" w:rsidR="008312AA" w:rsidRDefault="00000000">
            <w:pPr>
              <w:spacing w:before="300" w:line="276" w:lineRule="auto"/>
              <w:rPr>
                <w:rFonts w:ascii="Times New Roman" w:eastAsia="Times New Roman" w:hAnsi="Times New Roman" w:cs="Times New Roman"/>
              </w:rPr>
            </w:pPr>
            <w:r>
              <w:rPr>
                <w:rFonts w:ascii="Times New Roman" w:eastAsia="Times New Roman" w:hAnsi="Times New Roman" w:cs="Times New Roman"/>
              </w:rPr>
              <w:t xml:space="preserve">Koolitusel osalenute arv </w:t>
            </w:r>
          </w:p>
        </w:tc>
      </w:tr>
      <w:tr w:rsidR="008312AA" w14:paraId="3B05E7E8" w14:textId="77777777">
        <w:trPr>
          <w:trHeight w:val="620"/>
        </w:trPr>
        <w:tc>
          <w:tcPr>
            <w:tcW w:w="3015" w:type="dxa"/>
            <w:tcBorders>
              <w:left w:val="single" w:sz="8" w:space="0" w:color="000000"/>
              <w:bottom w:val="single" w:sz="8" w:space="0" w:color="000000"/>
              <w:right w:val="single" w:sz="8" w:space="0" w:color="000000"/>
            </w:tcBorders>
          </w:tcPr>
          <w:p w14:paraId="1E949412" w14:textId="4567A0BA" w:rsidR="008312AA" w:rsidRDefault="004E74BA" w:rsidP="004E74BA">
            <w:pPr>
              <w:spacing w:before="300" w:line="276" w:lineRule="auto"/>
              <w:jc w:val="left"/>
              <w:rPr>
                <w:rFonts w:ascii="Times New Roman" w:eastAsia="Times New Roman" w:hAnsi="Times New Roman" w:cs="Times New Roman"/>
              </w:rPr>
            </w:pPr>
            <w:r>
              <w:rPr>
                <w:rFonts w:ascii="Times New Roman" w:eastAsia="Times New Roman" w:hAnsi="Times New Roman" w:cs="Times New Roman"/>
              </w:rPr>
              <w:t>Erialastel koolitustel sh ümberõpe osalenud kalurite arv</w:t>
            </w:r>
          </w:p>
        </w:tc>
        <w:tc>
          <w:tcPr>
            <w:tcW w:w="2714" w:type="dxa"/>
            <w:tcBorders>
              <w:bottom w:val="single" w:sz="8" w:space="0" w:color="000000"/>
              <w:right w:val="single" w:sz="8" w:space="0" w:color="000000"/>
            </w:tcBorders>
          </w:tcPr>
          <w:p w14:paraId="45012A17" w14:textId="77777777" w:rsidR="008312AA" w:rsidRDefault="00000000">
            <w:pPr>
              <w:spacing w:before="300" w:line="276" w:lineRule="auto"/>
              <w:rPr>
                <w:rFonts w:ascii="Times New Roman" w:eastAsia="Times New Roman" w:hAnsi="Times New Roman" w:cs="Times New Roman"/>
              </w:rPr>
            </w:pPr>
            <w:r>
              <w:rPr>
                <w:rFonts w:ascii="Times New Roman" w:eastAsia="Times New Roman" w:hAnsi="Times New Roman" w:cs="Times New Roman"/>
              </w:rPr>
              <w:t>Läbiviidud koolitused (siht: 10)</w:t>
            </w:r>
          </w:p>
        </w:tc>
        <w:tc>
          <w:tcPr>
            <w:tcW w:w="3433" w:type="dxa"/>
            <w:tcBorders>
              <w:bottom w:val="single" w:sz="8" w:space="0" w:color="000000"/>
              <w:right w:val="single" w:sz="8" w:space="0" w:color="000000"/>
            </w:tcBorders>
          </w:tcPr>
          <w:p w14:paraId="58B88CFF" w14:textId="77777777" w:rsidR="008312AA" w:rsidRDefault="00000000">
            <w:pPr>
              <w:spacing w:before="300" w:line="276" w:lineRule="auto"/>
              <w:rPr>
                <w:rFonts w:ascii="Times New Roman" w:eastAsia="Times New Roman" w:hAnsi="Times New Roman" w:cs="Times New Roman"/>
              </w:rPr>
            </w:pPr>
            <w:r>
              <w:rPr>
                <w:rFonts w:ascii="Times New Roman" w:eastAsia="Times New Roman" w:hAnsi="Times New Roman" w:cs="Times New Roman"/>
              </w:rPr>
              <w:t xml:space="preserve">Koolitustel osalenute arv </w:t>
            </w:r>
          </w:p>
        </w:tc>
      </w:tr>
    </w:tbl>
    <w:p w14:paraId="6C9E7DE1" w14:textId="77777777" w:rsidR="008312AA" w:rsidRDefault="008312AA">
      <w:pPr>
        <w:spacing w:line="276" w:lineRule="auto"/>
        <w:rPr>
          <w:rFonts w:ascii="Times New Roman" w:eastAsia="Times New Roman" w:hAnsi="Times New Roman" w:cs="Times New Roman"/>
        </w:rPr>
      </w:pPr>
    </w:p>
    <w:p w14:paraId="17500F5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Toetatavad tegevused: </w:t>
      </w:r>
      <w:r>
        <w:rPr>
          <w:rFonts w:ascii="Times New Roman" w:eastAsia="Times New Roman" w:hAnsi="Times New Roman" w:cs="Times New Roman"/>
        </w:rPr>
        <w:t>tegevussuuna alt toetatakse kalurite teadmiste ja oskuste parendamise võimalusi.</w:t>
      </w:r>
    </w:p>
    <w:p w14:paraId="75690D9C" w14:textId="77777777" w:rsidR="008312AA" w:rsidRDefault="00000000">
      <w:pPr>
        <w:spacing w:line="276" w:lineRule="auto"/>
        <w:rPr>
          <w:rFonts w:ascii="Times New Roman" w:eastAsia="Times New Roman" w:hAnsi="Times New Roman" w:cs="Times New Roman"/>
          <w:iCs/>
        </w:rPr>
      </w:pPr>
      <w:r>
        <w:rPr>
          <w:rFonts w:ascii="Times New Roman" w:eastAsia="Times New Roman" w:hAnsi="Times New Roman" w:cs="Times New Roman"/>
          <w:iCs/>
        </w:rPr>
        <w:t xml:space="preserve">Koolituste toetamine, mis suurendavad ranna- ja </w:t>
      </w:r>
      <w:proofErr w:type="spellStart"/>
      <w:r>
        <w:rPr>
          <w:rFonts w:ascii="Times New Roman" w:eastAsia="Times New Roman" w:hAnsi="Times New Roman" w:cs="Times New Roman"/>
          <w:iCs/>
        </w:rPr>
        <w:t>sisevete</w:t>
      </w:r>
      <w:proofErr w:type="spellEnd"/>
      <w:r>
        <w:rPr>
          <w:rFonts w:ascii="Times New Roman" w:eastAsia="Times New Roman" w:hAnsi="Times New Roman" w:cs="Times New Roman"/>
          <w:iCs/>
        </w:rPr>
        <w:t xml:space="preserve"> kalurite teadmisi ja oskusi, suurendavad võimekust arendada välja uusi teenuseid ja tegeleda tootearendusega ning suurendada digitaalseid ja finantsalaseid oskusi jms. Lisaks ka tutvumine teiste Eesti ja välisriikide piirkondade kogemustega, näiteks õppereisid. Siia alla läheb ka kalandusettevõtjate koolitustel osalemise toetamine, mis võimaldab neil alustada tegevust teistel tegevusaladel või kalandusettevõtete töötajatele koolituste korraldamine, suurendamaks ettevõtja töötajate teadmisi ja oskusi.</w:t>
      </w:r>
    </w:p>
    <w:p w14:paraId="5A3C22CA"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Toetatavate tegevuste kirjeldus täpsemalt:</w:t>
      </w:r>
    </w:p>
    <w:p w14:paraId="19DD7C88" w14:textId="77777777" w:rsidR="004E74BA" w:rsidRPr="004E3ADC" w:rsidRDefault="004E74BA" w:rsidP="004E74BA">
      <w:pPr>
        <w:pStyle w:val="Loendilik"/>
        <w:numPr>
          <w:ilvl w:val="0"/>
          <w:numId w:val="31"/>
        </w:numPr>
        <w:spacing w:line="276" w:lineRule="auto"/>
        <w:rPr>
          <w:rFonts w:ascii="Times New Roman" w:hAnsi="Times New Roman" w:cs="Times New Roman"/>
        </w:rPr>
      </w:pPr>
      <w:r w:rsidRPr="004E3ADC">
        <w:rPr>
          <w:rFonts w:ascii="Times New Roman" w:hAnsi="Times New Roman" w:cs="Times New Roman"/>
        </w:rPr>
        <w:t xml:space="preserve">Erialased koolitused </w:t>
      </w:r>
      <w:r>
        <w:rPr>
          <w:rFonts w:ascii="Times New Roman" w:hAnsi="Times New Roman" w:cs="Times New Roman"/>
        </w:rPr>
        <w:t xml:space="preserve">sh kalandusettevõtte töötajate koolitamine ja valdkonna õigusloomega kursis olemine </w:t>
      </w:r>
      <w:r w:rsidRPr="004E3ADC">
        <w:rPr>
          <w:rFonts w:ascii="Times New Roman" w:hAnsi="Times New Roman" w:cs="Times New Roman"/>
        </w:rPr>
        <w:t xml:space="preserve">– koolitused mis aitavad kaluritel </w:t>
      </w:r>
      <w:r>
        <w:rPr>
          <w:rFonts w:ascii="Times New Roman" w:hAnsi="Times New Roman" w:cs="Times New Roman"/>
        </w:rPr>
        <w:t xml:space="preserve">ja kalandusettevõtjatel </w:t>
      </w:r>
      <w:r w:rsidRPr="004E3ADC">
        <w:rPr>
          <w:rFonts w:ascii="Times New Roman" w:hAnsi="Times New Roman" w:cs="Times New Roman"/>
        </w:rPr>
        <w:t>paremini toime tulla oma kutsetööga</w:t>
      </w:r>
      <w:r>
        <w:rPr>
          <w:rFonts w:ascii="Times New Roman" w:hAnsi="Times New Roman" w:cs="Times New Roman"/>
        </w:rPr>
        <w:t>.</w:t>
      </w:r>
    </w:p>
    <w:p w14:paraId="60FF3C61" w14:textId="77777777" w:rsidR="004E74BA" w:rsidRPr="004E3ADC" w:rsidRDefault="004E74BA" w:rsidP="004E74BA">
      <w:pPr>
        <w:pStyle w:val="Loendilik"/>
        <w:numPr>
          <w:ilvl w:val="0"/>
          <w:numId w:val="31"/>
        </w:numPr>
        <w:spacing w:line="276" w:lineRule="auto"/>
        <w:rPr>
          <w:rFonts w:ascii="Times New Roman" w:eastAsia="Times New Roman" w:hAnsi="Times New Roman" w:cs="Times New Roman"/>
        </w:rPr>
      </w:pPr>
      <w:r w:rsidRPr="004E3ADC">
        <w:rPr>
          <w:rFonts w:ascii="Times New Roman" w:eastAsia="Times New Roman" w:hAnsi="Times New Roman" w:cs="Times New Roman"/>
        </w:rPr>
        <w:t xml:space="preserve">Erialane ümberõpe – kalandussektorist väljapoole tegevuste leidmine jm koolitused, mis panustavad kaluri teadmiste ja oskuste tõstmisesse andmaks võimaluse leida tööd </w:t>
      </w:r>
      <w:r>
        <w:rPr>
          <w:rFonts w:ascii="Times New Roman" w:eastAsia="Times New Roman" w:hAnsi="Times New Roman" w:cs="Times New Roman"/>
        </w:rPr>
        <w:t>ning</w:t>
      </w:r>
      <w:r w:rsidRPr="004E3ADC">
        <w:rPr>
          <w:rFonts w:ascii="Times New Roman" w:eastAsia="Times New Roman" w:hAnsi="Times New Roman" w:cs="Times New Roman"/>
        </w:rPr>
        <w:t xml:space="preserve"> sissetulekuid püügivälisel perioodil.</w:t>
      </w:r>
    </w:p>
    <w:p w14:paraId="3ABC4050" w14:textId="77777777" w:rsidR="004E74BA" w:rsidRDefault="004E74BA" w:rsidP="004E74BA">
      <w:pPr>
        <w:pStyle w:val="Loendilik"/>
        <w:numPr>
          <w:ilvl w:val="0"/>
          <w:numId w:val="31"/>
        </w:numPr>
        <w:spacing w:before="240" w:after="240" w:line="276" w:lineRule="auto"/>
        <w:rPr>
          <w:rFonts w:ascii="Times New Roman" w:hAnsi="Times New Roman"/>
        </w:rPr>
      </w:pPr>
      <w:proofErr w:type="spellStart"/>
      <w:r w:rsidRPr="004E3ADC">
        <w:rPr>
          <w:rFonts w:ascii="Times New Roman" w:eastAsia="Times New Roman" w:hAnsi="Times New Roman" w:cs="Times New Roman"/>
        </w:rPr>
        <w:lastRenderedPageBreak/>
        <w:t>Üldharivad</w:t>
      </w:r>
      <w:proofErr w:type="spellEnd"/>
      <w:r w:rsidRPr="004E3ADC">
        <w:rPr>
          <w:rFonts w:ascii="Times New Roman" w:eastAsia="Times New Roman" w:hAnsi="Times New Roman" w:cs="Times New Roman"/>
        </w:rPr>
        <w:t xml:space="preserve"> koolitused s.h. koolitusreisid (nii riigisisesed kui piiriülesed) -  koolitused jms teadmiste omandamise vormid, mis võimaldavad kalandussektori esindajatel saada uusi kogemusi ja innovaatilisi ideid</w:t>
      </w:r>
      <w:r>
        <w:rPr>
          <w:rFonts w:ascii="Times New Roman" w:eastAsia="Times New Roman" w:hAnsi="Times New Roman" w:cs="Times New Roman"/>
        </w:rPr>
        <w:t>, et jätkata kalandusvaldkonnas jätkusuutlikku tegevust.</w:t>
      </w:r>
    </w:p>
    <w:p w14:paraId="4636D8E3"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Teave toetuse saaja ja projektitoetuse maksimaalsete määrade kohta on leitav määrusest „Perioodi 2021-2027 kogukonna juhitud kohaliku arengu strateegia.“ </w:t>
      </w:r>
    </w:p>
    <w:p w14:paraId="412B4BF7" w14:textId="77777777" w:rsidR="008312AA" w:rsidRDefault="008312AA">
      <w:pPr>
        <w:spacing w:before="240" w:after="240" w:line="276" w:lineRule="auto"/>
        <w:rPr>
          <w:rFonts w:ascii="Times New Roman" w:eastAsia="Times New Roman" w:hAnsi="Times New Roman" w:cs="Times New Roman"/>
        </w:rPr>
      </w:pPr>
    </w:p>
    <w:p w14:paraId="350E11DB"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6" w:name="_Toc157420965"/>
      <w:r>
        <w:rPr>
          <w:rFonts w:ascii="Times New Roman" w:eastAsia="Times New Roman" w:hAnsi="Times New Roman" w:cs="Times New Roman"/>
          <w:color w:val="7030A0"/>
          <w:sz w:val="28"/>
          <w:szCs w:val="28"/>
        </w:rPr>
        <w:t>4.7. Strateegia lõimitus ja uuenduslikkus</w:t>
      </w:r>
      <w:bookmarkEnd w:id="66"/>
    </w:p>
    <w:p w14:paraId="77CFD134" w14:textId="77777777" w:rsidR="008312AA" w:rsidRDefault="008312AA">
      <w:pPr>
        <w:spacing w:line="276" w:lineRule="auto"/>
        <w:rPr>
          <w:rFonts w:ascii="Times New Roman" w:eastAsia="Times New Roman" w:hAnsi="Times New Roman" w:cs="Times New Roman"/>
        </w:rPr>
      </w:pPr>
    </w:p>
    <w:p w14:paraId="7A999F2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Eespool kirjeldatud eesmärgid ja tegevused on mõeldud Saare maakonna kalanduspiirkonna elujõulisuse tagamiseks ning valdkonna sujuvaks integreerimiseks teiste piirkonnale iseloomulike tegevustega.</w:t>
      </w:r>
    </w:p>
    <w:p w14:paraId="727B0D9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kalanduspiirkonna arengustrateegia panustab maakonna tasakaalustatud ning terviklikku arengusse, toetades ressursitõhusate ja keskkonnasõbralike lahenduste ning tehnoloogiate kasutusele võtmist erinevates tegevussuundades. Strateegiaga on kavas jätkata maakonna kalanduspiirkonna terviklikku väljaarendamist.</w:t>
      </w:r>
    </w:p>
    <w:p w14:paraId="75C5D1F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Toetatakse muuhulgas investeeringuid, mis suurendavad ranna- ja </w:t>
      </w:r>
      <w:proofErr w:type="spellStart"/>
      <w:r>
        <w:rPr>
          <w:rFonts w:ascii="Times New Roman" w:eastAsia="Times New Roman" w:hAnsi="Times New Roman" w:cs="Times New Roman"/>
        </w:rPr>
        <w:t>sisevete</w:t>
      </w:r>
      <w:proofErr w:type="spellEnd"/>
      <w:r>
        <w:rPr>
          <w:rFonts w:ascii="Times New Roman" w:eastAsia="Times New Roman" w:hAnsi="Times New Roman" w:cs="Times New Roman"/>
        </w:rPr>
        <w:t xml:space="preserve"> kalurite sissetulekuid ning konkurentsivõimet kalandustoodete turul, aitavad paremini toime tulla kliimamuutustest tulenevate muutustega ning aitavad kasutusele võtta süsinikneutraalseid alternatiivseid energiaallikaid.</w:t>
      </w:r>
    </w:p>
    <w:p w14:paraId="4113F44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Keskendutakse mitmekesiseid teenuseid pakkuvate ja elujõuliste kalasadamate võrgu arendamisele. Saaremaa kalanduspiirkonnale on iseloomulik sadamate s.h. kalasadamate rohkus rannikujoonel. Kahe eelmise rahastusperioodi eesmärgiks oli eelkõige kogu sadamate võrgu korrastamine. Sel programmperioodil on oluline arendada eelkõige neid kalasadamaid, kus lossimiskogused ja muud kutselist rannakalandust iseloomustavate näitajate koosmõju on  tasakaalus. Elujõuliste kalasadamate uuendamine ning väljaarendamine multifunktsionaalsemaks toetab piirkonnas nii vee-eluressursside </w:t>
      </w:r>
      <w:proofErr w:type="spellStart"/>
      <w:r>
        <w:rPr>
          <w:rFonts w:ascii="Times New Roman" w:eastAsia="Times New Roman" w:hAnsi="Times New Roman" w:cs="Times New Roman"/>
        </w:rPr>
        <w:t>väärindamist</w:t>
      </w:r>
      <w:proofErr w:type="spellEnd"/>
      <w:r>
        <w:rPr>
          <w:rFonts w:ascii="Times New Roman" w:eastAsia="Times New Roman" w:hAnsi="Times New Roman" w:cs="Times New Roman"/>
        </w:rPr>
        <w:t xml:space="preserve"> ja turustamist, kui ka turismi arengut, võimaldades multifunktsionaalsete sadamate baasil kalandustraditsioonide ja rannakülade säilimist. Sadamates ürituste korraldamine tagab rannarahva ühtse koostöö ja tutvustab piirkonda laiemale rahvahulgale luues ülevaate piirkonnas pakutavatest teenustest ja toodetest sh kalandusest ja kohalikest kalatoodetest. Taristu arendamine suurendab </w:t>
      </w:r>
      <w:proofErr w:type="spellStart"/>
      <w:r>
        <w:rPr>
          <w:rFonts w:ascii="Times New Roman" w:eastAsia="Times New Roman" w:hAnsi="Times New Roman" w:cs="Times New Roman"/>
        </w:rPr>
        <w:t>rannapüügil</w:t>
      </w:r>
      <w:proofErr w:type="spellEnd"/>
      <w:r>
        <w:rPr>
          <w:rFonts w:ascii="Times New Roman" w:eastAsia="Times New Roman" w:hAnsi="Times New Roman" w:cs="Times New Roman"/>
        </w:rPr>
        <w:t xml:space="preserve"> kasutatavate kalasadamate majanduslikku kasumlikkust andes sadamatele paremad võimalused toimimiseks. Toetades taastuvenergia lahendusi ning muutes sadamad kliimamuutustest tulenevatele mõjudele vastupidavamaks tagatakse vajalik ressursitõhusus.</w:t>
      </w:r>
    </w:p>
    <w:p w14:paraId="358F06A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Ainult kalapüügist elatuvate kalurite hulk on väga väike. See tähendab, et lisaks kalapüügile vajatakse aastaringsete sissetulekute kindlustamiseks lisategevusalasid. Lisaks tavapärastele kaluri tegevust mitmekesistavate tegevuste toetamisele, panustatakse arengustrateegias ka investeeringutele, mis aitavad kaluritel oma ettevõtete käitamiseks ja teenuste osutamiseks üle </w:t>
      </w:r>
      <w:r>
        <w:rPr>
          <w:rFonts w:ascii="Times New Roman" w:eastAsia="Times New Roman" w:hAnsi="Times New Roman" w:cs="Times New Roman"/>
        </w:rPr>
        <w:lastRenderedPageBreak/>
        <w:t>minna süsinikneutraalsetele energiaallikatele. Toetatakse ressursitõhusamate ja innovaatilisematele tehnoloogiate kasutuselevõtmist jms.</w:t>
      </w:r>
    </w:p>
    <w:p w14:paraId="4AFF441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Säästliku ja jätkusuutliku kalamajanduse toetamise kontekstis jätkatakse piirkonna looduskeskkonna parendamisega. Uuenduslik aspekt tegevussuunas on kindlasti asjaolu, et piirkond saab kaasa aidata ka hüljeste ja kormoranide populatsioonide ohjamisele. Arengustrateegia punktis 1.3. Kalavarud, oleme seda teemat käsitlenud, toetudes erinevatele teadusartiklitele. Sel perioodil on võimalik toetada ka kudealade rajamist merre.</w:t>
      </w:r>
    </w:p>
    <w:p w14:paraId="3DE3A66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Eeltoodust lähtuvalt võib öelda, et kaetud on kogu nn tarneahel: kalade kudemisest kuni nende töötlemise ja turustamiseni. Seega on strateegia eesmärgid omavahel lõimitud, panustades visiooni: “</w:t>
      </w:r>
      <w:r>
        <w:rPr>
          <w:rFonts w:ascii="Times New Roman" w:eastAsia="Times New Roman" w:hAnsi="Times New Roman" w:cs="Times New Roman"/>
          <w:i/>
        </w:rPr>
        <w:t>Ranna- ja kalanduskogukonnad on Saaremaal elujõulised ja arenevad – kalurite aastaringne, tegevuste mitmekesistamise abil suurenev sissetulek võimaldab neil senist elustiili jätkata ja nii kohalikel kui külastajatel pakutavast kalasaagist ning kalatoodetest osa saada”</w:t>
      </w:r>
      <w:r>
        <w:rPr>
          <w:rFonts w:ascii="Times New Roman" w:eastAsia="Times New Roman" w:hAnsi="Times New Roman" w:cs="Times New Roman"/>
        </w:rPr>
        <w:t xml:space="preserve"> täitmisesse.</w:t>
      </w:r>
    </w:p>
    <w:p w14:paraId="6174AAC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Saaremaa kalanduspiirkond peab oluliseks ranna- ja kalanduskogukondade identiteedi tugevdamist  ning kalandus- ja merendustraditsioonide edendamist ja säilitamist. Oluline on investeeringute toetamine, mis panustavad ranna- ja kalanduskogukondade identiteedi tugevdamisse, populariseerivad ja tutvustavad kalandust laiemale avalikkusele ja säilitavad ja edendavad kalandus- ja merendusalast kultuuripärandit sh erinevate digilahenduste ja taastuvenergia allikate kasutuselevõtmine projekti elluviimisel (audioraamatud, digigiid, taastuvenergia allikate kasutuselevõtmine näiteks objekti valgustamiseks).</w:t>
      </w:r>
    </w:p>
    <w:p w14:paraId="53C8151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Täiesti uudse tegevusena on kavandatud kalurkonna teadmiste ja oskuste parendamise toetamine sh keskkonnasäästlike tehnoloogiate ja töövõtete omandamine, digi- ja finantspädevuse tõstmine ning </w:t>
      </w:r>
      <w:proofErr w:type="spellStart"/>
      <w:r>
        <w:rPr>
          <w:rFonts w:ascii="Times New Roman" w:eastAsia="Times New Roman" w:hAnsi="Times New Roman" w:cs="Times New Roman"/>
        </w:rPr>
        <w:t>sinimajanduse</w:t>
      </w:r>
      <w:proofErr w:type="spellEnd"/>
      <w:r>
        <w:rPr>
          <w:rFonts w:ascii="Times New Roman" w:eastAsia="Times New Roman" w:hAnsi="Times New Roman" w:cs="Times New Roman"/>
        </w:rPr>
        <w:t xml:space="preserve"> arengut toetavate teadmiste omandamine.</w:t>
      </w:r>
    </w:p>
    <w:p w14:paraId="3DDEF9AA"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Eeltoodule toetudes võib öelda, et Saaremaa kalanduspiirkonna perioodi 2023- 2027+ arengustrateegia jätkab kahe eelmise programmperioodi strateegia eesmärkidega,  kalanduskogukonna võimekuse tõstmine, kohaliku ressursi </w:t>
      </w:r>
      <w:proofErr w:type="spellStart"/>
      <w:r>
        <w:rPr>
          <w:rFonts w:ascii="Times New Roman" w:eastAsia="Times New Roman" w:hAnsi="Times New Roman" w:cs="Times New Roman"/>
        </w:rPr>
        <w:t>väärindamine</w:t>
      </w:r>
      <w:proofErr w:type="spellEnd"/>
      <w:r>
        <w:rPr>
          <w:rFonts w:ascii="Times New Roman" w:eastAsia="Times New Roman" w:hAnsi="Times New Roman" w:cs="Times New Roman"/>
        </w:rPr>
        <w:t>, sadamate arendamine, looduskeskkonna tingimuste parendamine ja kalurkonna sotsiaalse heaolu tõstmine.  Lisaks on strateegiasse sisse toodud perioodi 2023-2027+ uuenduslikud suunad.</w:t>
      </w:r>
    </w:p>
    <w:p w14:paraId="2E1CB97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elluviimise protsess peab olema </w:t>
      </w:r>
      <w:proofErr w:type="spellStart"/>
      <w:r>
        <w:rPr>
          <w:rFonts w:ascii="Times New Roman" w:eastAsia="Times New Roman" w:hAnsi="Times New Roman" w:cs="Times New Roman"/>
        </w:rPr>
        <w:t>jätkusuutlik</w:t>
      </w:r>
      <w:proofErr w:type="spellEnd"/>
      <w:r>
        <w:rPr>
          <w:rFonts w:ascii="Times New Roman" w:eastAsia="Times New Roman" w:hAnsi="Times New Roman" w:cs="Times New Roman"/>
        </w:rPr>
        <w:t xml:space="preserve"> ning keskenduma piirkonna järjepidevale arendusele. Arengustrateegias keskendutakse Saaremaa kalanduspiirkonna ühtsele arengule ning strateegia tegevused on suunatud kalanduskogukonna liikmete tööhõive parandamisele ja olemasolevate töökohtade säilitamisele, uusi töökohti piirkonnas luua on keeruline ja see ei saa olla eesmärk omaette. Eesmärk on jätkuvalt panustada ka tootearendusse ning töötlemisse aga ka nišitoodete arendamisse. Mitte vähem tähtis ei ole kalurite sotsiaalse kindlustatuse parandamine, mis tagaksid stabiilse, äraelamist võimaldava sissetuleku kogu aasta vältel.</w:t>
      </w:r>
    </w:p>
    <w:p w14:paraId="1F03C16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Strateegia uuenduslikkus võrreldes eelmise perioodiga on asjaolu, et keskendutakse rohkem innovaatiliste, säästlike ja keskkonnasõbralike tehnoloogiate sh digitehnoloogiate kasutamisele võtmisele. Pööratakse suuremat rõhku kohalike ressursside sh ka väheväärtusliku kala </w:t>
      </w:r>
      <w:proofErr w:type="spellStart"/>
      <w:r>
        <w:rPr>
          <w:rFonts w:ascii="Times New Roman" w:eastAsia="Times New Roman" w:hAnsi="Times New Roman" w:cs="Times New Roman"/>
        </w:rPr>
        <w:t>väärindamisele</w:t>
      </w:r>
      <w:proofErr w:type="spellEnd"/>
      <w:r>
        <w:rPr>
          <w:rFonts w:ascii="Times New Roman" w:eastAsia="Times New Roman" w:hAnsi="Times New Roman" w:cs="Times New Roman"/>
        </w:rPr>
        <w:t xml:space="preserve"> toetades keskkonnahoidlike tehnoloogiate ja ärimudelite juurutamist.  Strateegia tegevussuunad on omavahel tihedasti </w:t>
      </w:r>
      <w:proofErr w:type="spellStart"/>
      <w:r>
        <w:rPr>
          <w:rFonts w:ascii="Times New Roman" w:eastAsia="Times New Roman" w:hAnsi="Times New Roman" w:cs="Times New Roman"/>
        </w:rPr>
        <w:t>lõimunud</w:t>
      </w:r>
      <w:proofErr w:type="spellEnd"/>
      <w:r>
        <w:rPr>
          <w:rFonts w:ascii="Times New Roman" w:eastAsia="Times New Roman" w:hAnsi="Times New Roman" w:cs="Times New Roman"/>
        </w:rPr>
        <w:t xml:space="preserve">. Strateegias tõstetakse esile </w:t>
      </w:r>
      <w:r>
        <w:rPr>
          <w:rFonts w:ascii="Times New Roman" w:eastAsia="Times New Roman" w:hAnsi="Times New Roman" w:cs="Times New Roman"/>
        </w:rPr>
        <w:lastRenderedPageBreak/>
        <w:t>kalanduskogukondade heaolu kasvu edendamise vajadust, et säilitada rannapiirkonnas töökohti ning toetada rannapiirkondades mikroettevõtlust.</w:t>
      </w:r>
    </w:p>
    <w:p w14:paraId="6E1E7416"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Strateegia tegevussuundade omavaheline integreeritus võimaldab piirkonna rannakaluritel tagada aastaringne sissetulek kodu lähedal ning välistab tööalase väljarände.</w:t>
      </w:r>
    </w:p>
    <w:p w14:paraId="215865A2" w14:textId="77777777" w:rsidR="008312AA" w:rsidRDefault="008312AA">
      <w:pPr>
        <w:spacing w:before="240" w:after="240" w:line="276" w:lineRule="auto"/>
        <w:rPr>
          <w:rFonts w:ascii="Times New Roman" w:eastAsia="Times New Roman" w:hAnsi="Times New Roman" w:cs="Times New Roman"/>
        </w:rPr>
      </w:pPr>
    </w:p>
    <w:p w14:paraId="573FB238"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67" w:name="_Toc157420966"/>
      <w:r>
        <w:rPr>
          <w:rFonts w:ascii="Times New Roman" w:eastAsia="Times New Roman" w:hAnsi="Times New Roman" w:cs="Times New Roman"/>
          <w:color w:val="7030A0"/>
          <w:sz w:val="28"/>
          <w:szCs w:val="28"/>
        </w:rPr>
        <w:t>4.8. Strateegia seosed muude arengudokumentidega</w:t>
      </w:r>
      <w:bookmarkEnd w:id="67"/>
    </w:p>
    <w:p w14:paraId="41A4FB4A" w14:textId="77777777" w:rsidR="008312AA" w:rsidRDefault="008312AA">
      <w:pPr>
        <w:spacing w:line="276" w:lineRule="auto"/>
        <w:rPr>
          <w:rFonts w:ascii="Times New Roman" w:eastAsia="Times New Roman" w:hAnsi="Times New Roman" w:cs="Times New Roman"/>
        </w:rPr>
      </w:pPr>
    </w:p>
    <w:p w14:paraId="714923C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Arengudokumentide puhul on oluline kooskõla ja koostoime teiste sama piirkonda või valdkonda mõjutavate arengudokumentidega. Järgnevalt on käsitletud Saaremaa kalanduspiirkonna strateegia suhteid mitmete EL, Eesti siseriiklike ja maakondlike arengudokumentidega. </w:t>
      </w:r>
    </w:p>
    <w:p w14:paraId="1DEE06E6" w14:textId="77777777" w:rsidR="008312AA" w:rsidRDefault="008312AA">
      <w:pPr>
        <w:pStyle w:val="Pealkiri3"/>
        <w:spacing w:line="276" w:lineRule="auto"/>
        <w:ind w:left="0" w:firstLine="0"/>
        <w:rPr>
          <w:rFonts w:ascii="Times New Roman" w:eastAsia="Times New Roman" w:hAnsi="Times New Roman" w:cs="Times New Roman"/>
          <w:color w:val="auto"/>
        </w:rPr>
      </w:pPr>
      <w:bookmarkStart w:id="68" w:name="_heading=h.9ssezqorbj9p"/>
      <w:bookmarkEnd w:id="68"/>
    </w:p>
    <w:p w14:paraId="4F8B6039" w14:textId="77777777" w:rsidR="008312AA" w:rsidRPr="00E3093D" w:rsidRDefault="00000000" w:rsidP="00541032">
      <w:pPr>
        <w:pStyle w:val="Pealkiri3"/>
        <w:spacing w:line="276" w:lineRule="auto"/>
        <w:ind w:left="0" w:firstLine="0"/>
        <w:jc w:val="left"/>
        <w:rPr>
          <w:rFonts w:ascii="Times New Roman" w:eastAsia="Times New Roman" w:hAnsi="Times New Roman" w:cs="Times New Roman"/>
          <w:color w:val="0E5C04"/>
        </w:rPr>
      </w:pPr>
      <w:bookmarkStart w:id="69" w:name="_heading=h.n85au5z8bici"/>
      <w:bookmarkStart w:id="70" w:name="_Toc157420967"/>
      <w:bookmarkEnd w:id="69"/>
      <w:r w:rsidRPr="00E3093D">
        <w:rPr>
          <w:rFonts w:ascii="Times New Roman" w:eastAsia="Times New Roman" w:hAnsi="Times New Roman" w:cs="Times New Roman"/>
          <w:color w:val="0E5C04"/>
        </w:rPr>
        <w:t>4.8.1. Sidusus erinevate EL arengufondidega</w:t>
      </w:r>
      <w:bookmarkEnd w:id="70"/>
    </w:p>
    <w:p w14:paraId="30F74D2A" w14:textId="77777777" w:rsidR="008312AA" w:rsidRDefault="00000000">
      <w:pPr>
        <w:spacing w:before="240" w:after="240" w:line="276" w:lineRule="auto"/>
        <w:rPr>
          <w:rFonts w:ascii="Times New Roman" w:eastAsia="Times New Roman" w:hAnsi="Times New Roman" w:cs="Times New Roman"/>
        </w:rPr>
      </w:pPr>
      <w:hyperlink r:id="rId26">
        <w:r>
          <w:rPr>
            <w:rFonts w:ascii="Times New Roman" w:eastAsia="Times New Roman" w:hAnsi="Times New Roman" w:cs="Times New Roman"/>
            <w:b/>
            <w:color w:val="0070C0"/>
            <w:u w:val="single"/>
          </w:rPr>
          <w:t>Euroopa Sotsiaalfond (ESF) 2021-2027</w:t>
        </w:r>
      </w:hyperlink>
      <w:hyperlink r:id="rId27">
        <w:r>
          <w:rPr>
            <w:rFonts w:ascii="Times New Roman" w:eastAsia="Times New Roman" w:hAnsi="Times New Roman" w:cs="Times New Roman"/>
            <w:u w:val="single"/>
          </w:rPr>
          <w:t xml:space="preserve"> </w:t>
        </w:r>
      </w:hyperlink>
      <w:r>
        <w:rPr>
          <w:rFonts w:ascii="Times New Roman" w:eastAsia="Times New Roman" w:hAnsi="Times New Roman" w:cs="Times New Roman"/>
        </w:rPr>
        <w:t xml:space="preserve">- eesmärk on toetada liikmesriike COVID-19 pandeemia põhjustatud kriisi lahendamisel, saavutada suur tööhõive, õiglane sotsiaalkaitse ning oskustega ja vastupidav tööjõud, kes on valmis üleminekuks rohe- ja digimajandusele. ESF+ on ELi peamine vahend, mis on mõeldud inimestesse investeerimiseks. </w:t>
      </w:r>
    </w:p>
    <w:p w14:paraId="1A5811A9"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kalurkonna teadmiste ja oskuste edendamist saavutamaks suuremat tööhõivet (tegevussuund 6).</w:t>
      </w:r>
    </w:p>
    <w:p w14:paraId="3FAA4C39" w14:textId="77777777" w:rsidR="008312AA" w:rsidRDefault="00000000">
      <w:pPr>
        <w:spacing w:before="240" w:after="240" w:line="276" w:lineRule="auto"/>
        <w:rPr>
          <w:rFonts w:ascii="Times New Roman" w:eastAsia="Times New Roman" w:hAnsi="Times New Roman" w:cs="Times New Roman"/>
          <w:highlight w:val="white"/>
        </w:rPr>
      </w:pPr>
      <w:hyperlink r:id="rId28">
        <w:r>
          <w:rPr>
            <w:rFonts w:ascii="Times New Roman" w:eastAsia="Times New Roman" w:hAnsi="Times New Roman" w:cs="Times New Roman"/>
            <w:b/>
            <w:color w:val="0070C0"/>
            <w:highlight w:val="white"/>
            <w:u w:val="single"/>
          </w:rPr>
          <w:t>Euroopa Regionaalarengu Fond (ERF) 2021-2027</w:t>
        </w:r>
      </w:hyperlink>
      <w:r>
        <w:rPr>
          <w:rFonts w:ascii="Times New Roman" w:eastAsia="Times New Roman" w:hAnsi="Times New Roman" w:cs="Times New Roman"/>
          <w:color w:val="0070C0"/>
          <w:highlight w:val="white"/>
        </w:rPr>
        <w:t xml:space="preserve"> </w:t>
      </w:r>
      <w:r>
        <w:rPr>
          <w:rFonts w:ascii="Times New Roman" w:eastAsia="Times New Roman" w:hAnsi="Times New Roman" w:cs="Times New Roman"/>
          <w:highlight w:val="white"/>
        </w:rPr>
        <w:t xml:space="preserve">- eesmärk on aidata tasandada Euroopa eri piirkondade arengutaseme erinevusi ning tõsta kõige ebasoodsamate piirkondade elatustaset. Erilist tähelepanu pööratakse piirkondadele, kus valitsevad rasked ja püsivalt ebasoodsad looduslikud või demograafilised tingimused, nagu väga väikese rahvastikutihedusega põhjapoolseimad piirkonnad ning saare-, piiriülesed ja mägipiirkonnad. Peamised eesmärgid on investeerimine majanduskasvu ja töökohtade loomisse, et tugevdada tööturgu ja piirkondade majandust, ning Euroopa territoriaalne koostöö, et tugevdada piiriülest, riikidevahelist ja </w:t>
      </w:r>
      <w:proofErr w:type="spellStart"/>
      <w:r>
        <w:rPr>
          <w:rFonts w:ascii="Times New Roman" w:eastAsia="Times New Roman" w:hAnsi="Times New Roman" w:cs="Times New Roman"/>
          <w:highlight w:val="white"/>
        </w:rPr>
        <w:t>piirkondadevahelist</w:t>
      </w:r>
      <w:proofErr w:type="spellEnd"/>
      <w:r>
        <w:rPr>
          <w:rFonts w:ascii="Times New Roman" w:eastAsia="Times New Roman" w:hAnsi="Times New Roman" w:cs="Times New Roman"/>
          <w:highlight w:val="white"/>
        </w:rPr>
        <w:t xml:space="preserve"> koostööd ELis.</w:t>
      </w:r>
    </w:p>
    <w:p w14:paraId="033AF9A8" w14:textId="77777777" w:rsidR="008312AA" w:rsidRDefault="00000000">
      <w:pPr>
        <w:spacing w:before="240" w:after="240" w:line="276" w:lineRule="auto"/>
        <w:rPr>
          <w:rFonts w:ascii="Times New Roman" w:eastAsia="Times New Roman" w:hAnsi="Times New Roman" w:cs="Times New Roman"/>
          <w:highlight w:val="white"/>
        </w:rPr>
      </w:pPr>
      <w:r>
        <w:rPr>
          <w:rFonts w:ascii="Times New Roman" w:eastAsia="Times New Roman" w:hAnsi="Times New Roman" w:cs="Times New Roman"/>
          <w:b/>
          <w:bCs/>
          <w:highlight w:val="white"/>
        </w:rPr>
        <w:t>Sidusus:</w:t>
      </w:r>
      <w:r>
        <w:rPr>
          <w:rFonts w:ascii="Times New Roman" w:eastAsia="Times New Roman" w:hAnsi="Times New Roman" w:cs="Times New Roman"/>
          <w:highlight w:val="white"/>
        </w:rPr>
        <w:t xml:space="preserve"> Saaremaa kalanduspiirkonna strateegia eesmärgid toetavad piirkonna majanduskasvu arendamist ja töökohtade loomist ning riikide- ja </w:t>
      </w:r>
      <w:proofErr w:type="spellStart"/>
      <w:r>
        <w:rPr>
          <w:rFonts w:ascii="Times New Roman" w:eastAsia="Times New Roman" w:hAnsi="Times New Roman" w:cs="Times New Roman"/>
          <w:highlight w:val="white"/>
        </w:rPr>
        <w:t>piirkondadevahelist</w:t>
      </w:r>
      <w:proofErr w:type="spellEnd"/>
      <w:r>
        <w:rPr>
          <w:rFonts w:ascii="Times New Roman" w:eastAsia="Times New Roman" w:hAnsi="Times New Roman" w:cs="Times New Roman"/>
          <w:highlight w:val="white"/>
        </w:rPr>
        <w:t xml:space="preserve"> koostööd (tegevussuunad 1, 2, 3, 6).</w:t>
      </w:r>
    </w:p>
    <w:p w14:paraId="0888586F" w14:textId="77777777" w:rsidR="008312AA" w:rsidRPr="00E3093D" w:rsidRDefault="00000000">
      <w:pPr>
        <w:pStyle w:val="Pealkiri3"/>
        <w:spacing w:before="240" w:after="240" w:line="276" w:lineRule="auto"/>
        <w:ind w:left="0" w:firstLine="0"/>
        <w:rPr>
          <w:rFonts w:ascii="Times New Roman" w:eastAsia="Times New Roman" w:hAnsi="Times New Roman" w:cs="Times New Roman"/>
          <w:color w:val="0E5C04"/>
        </w:rPr>
      </w:pPr>
      <w:bookmarkStart w:id="71" w:name="_heading=h.lc7dt0onosao"/>
      <w:bookmarkStart w:id="72" w:name="_Toc157420968"/>
      <w:bookmarkEnd w:id="71"/>
      <w:r w:rsidRPr="00E3093D">
        <w:rPr>
          <w:rFonts w:ascii="Times New Roman" w:eastAsia="Times New Roman" w:hAnsi="Times New Roman" w:cs="Times New Roman"/>
          <w:color w:val="0E5C04"/>
        </w:rPr>
        <w:t>4.8.2. Sidusus erinevate arenguprogrammidaga</w:t>
      </w:r>
      <w:bookmarkEnd w:id="72"/>
    </w:p>
    <w:p w14:paraId="71B548DB" w14:textId="77777777" w:rsidR="008312AA" w:rsidRDefault="00000000">
      <w:pPr>
        <w:spacing w:before="240" w:after="240" w:line="276" w:lineRule="auto"/>
        <w:rPr>
          <w:rFonts w:ascii="Times New Roman" w:eastAsia="Times New Roman" w:hAnsi="Times New Roman" w:cs="Times New Roman"/>
        </w:rPr>
      </w:pPr>
      <w:hyperlink r:id="rId29">
        <w:r>
          <w:rPr>
            <w:rFonts w:ascii="Times New Roman" w:eastAsia="Times New Roman" w:hAnsi="Times New Roman" w:cs="Times New Roman"/>
            <w:b/>
            <w:color w:val="0070C0"/>
            <w:u w:val="single"/>
          </w:rPr>
          <w:t>Regionaalpoliitika programm 2022-2025</w:t>
        </w:r>
      </w:hyperlink>
      <w:r>
        <w:rPr>
          <w:rFonts w:ascii="Times New Roman" w:eastAsia="Times New Roman" w:hAnsi="Times New Roman" w:cs="Times New Roman"/>
          <w:b/>
          <w:color w:val="0070C0"/>
        </w:rPr>
        <w:t xml:space="preserve"> </w:t>
      </w:r>
      <w:r>
        <w:rPr>
          <w:rFonts w:ascii="Times New Roman" w:eastAsia="Times New Roman" w:hAnsi="Times New Roman" w:cs="Times New Roman"/>
        </w:rPr>
        <w:t>- eesmärk on, et inimestel on kõikjal Eestis kättesaadavad tasuvad töökohad, kvaliteetsed teenused ja meeldiv elukeskkond.</w:t>
      </w:r>
    </w:p>
    <w:p w14:paraId="52B8E2AC"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piirkonnas töökohtade </w:t>
      </w:r>
      <w:proofErr w:type="spellStart"/>
      <w:r>
        <w:rPr>
          <w:rFonts w:ascii="Times New Roman" w:eastAsia="Times New Roman" w:hAnsi="Times New Roman" w:cs="Times New Roman"/>
        </w:rPr>
        <w:t>säilmist</w:t>
      </w:r>
      <w:proofErr w:type="spellEnd"/>
      <w:r>
        <w:rPr>
          <w:rFonts w:ascii="Times New Roman" w:eastAsia="Times New Roman" w:hAnsi="Times New Roman" w:cs="Times New Roman"/>
        </w:rPr>
        <w:t xml:space="preserve"> ja teenuste/ toodete kvaliteedi parendamist (tegevussuunad 1, 2, 3, 6).</w:t>
      </w:r>
    </w:p>
    <w:p w14:paraId="19DCCB69" w14:textId="77777777" w:rsidR="008312AA" w:rsidRDefault="00000000">
      <w:pPr>
        <w:spacing w:before="240" w:after="240" w:line="276" w:lineRule="auto"/>
        <w:rPr>
          <w:rFonts w:ascii="Times New Roman" w:eastAsia="Times New Roman" w:hAnsi="Times New Roman" w:cs="Times New Roman"/>
        </w:rPr>
      </w:pPr>
      <w:hyperlink r:id="rId30">
        <w:r>
          <w:rPr>
            <w:rFonts w:ascii="Times New Roman" w:eastAsia="Times New Roman" w:hAnsi="Times New Roman" w:cs="Times New Roman"/>
            <w:b/>
            <w:color w:val="0070C0"/>
            <w:u w:val="single"/>
          </w:rPr>
          <w:t>Ettevõtluskeskkonna programm 2023-2026</w:t>
        </w:r>
      </w:hyperlink>
      <w:r>
        <w:rPr>
          <w:rFonts w:ascii="Times New Roman" w:eastAsia="Times New Roman" w:hAnsi="Times New Roman" w:cs="Times New Roman"/>
        </w:rPr>
        <w:t xml:space="preserve"> - Eesti ettevõtluskeskkond soodustab ettevõtlikkust ning teadmusmahuka ettevõtluse teket ja kasvu, kõrgema lisandväärtusega toodete ja teenuste loomist ja eksporti ning investeeringuid kõigis Eesti piirkondades. Eesti teadus, arendustegevus, innovatsioon ja ettevõtlus suurendavad koostoimes Eesti </w:t>
      </w:r>
      <w:proofErr w:type="spellStart"/>
      <w:r>
        <w:rPr>
          <w:rFonts w:ascii="Times New Roman" w:eastAsia="Times New Roman" w:hAnsi="Times New Roman" w:cs="Times New Roman"/>
        </w:rPr>
        <w:t>ühiskonna</w:t>
      </w:r>
      <w:proofErr w:type="spellEnd"/>
      <w:r>
        <w:rPr>
          <w:rFonts w:ascii="Times New Roman" w:eastAsia="Times New Roman" w:hAnsi="Times New Roman" w:cs="Times New Roman"/>
        </w:rPr>
        <w:t xml:space="preserve"> heaolu ja majanduse tootlikkust, pakkudes konkurentsivõimelisi ja </w:t>
      </w:r>
      <w:proofErr w:type="spellStart"/>
      <w:r>
        <w:rPr>
          <w:rFonts w:ascii="Times New Roman" w:eastAsia="Times New Roman" w:hAnsi="Times New Roman" w:cs="Times New Roman"/>
        </w:rPr>
        <w:t>kestlikke</w:t>
      </w:r>
      <w:proofErr w:type="spellEnd"/>
      <w:r>
        <w:rPr>
          <w:rFonts w:ascii="Times New Roman" w:eastAsia="Times New Roman" w:hAnsi="Times New Roman" w:cs="Times New Roman"/>
        </w:rPr>
        <w:t xml:space="preserve"> lahendusi Eesti ja maailma arenguvajadustele.</w:t>
      </w:r>
    </w:p>
    <w:p w14:paraId="46743656"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kalurkonna ettevõtlikkust ja kõrgema lisandväärtuse andmist kohalikule toormele (tegevussuunad 1, 3, 6).</w:t>
      </w:r>
    </w:p>
    <w:p w14:paraId="73556E1C" w14:textId="77777777" w:rsidR="008312AA" w:rsidRPr="00E3093D" w:rsidRDefault="00000000" w:rsidP="00541032">
      <w:pPr>
        <w:pStyle w:val="Pealkiri3"/>
        <w:spacing w:before="240" w:after="240" w:line="276" w:lineRule="auto"/>
        <w:ind w:left="0" w:firstLine="0"/>
        <w:jc w:val="left"/>
        <w:rPr>
          <w:rFonts w:ascii="Times New Roman" w:eastAsia="Times New Roman" w:hAnsi="Times New Roman" w:cs="Times New Roman"/>
          <w:color w:val="0E5C04"/>
        </w:rPr>
      </w:pPr>
      <w:bookmarkStart w:id="73" w:name="_heading=h.wo2f9jfxy1rn"/>
      <w:bookmarkStart w:id="74" w:name="_Toc157420969"/>
      <w:bookmarkEnd w:id="73"/>
      <w:r w:rsidRPr="00E3093D">
        <w:rPr>
          <w:rFonts w:ascii="Times New Roman" w:eastAsia="Times New Roman" w:hAnsi="Times New Roman" w:cs="Times New Roman"/>
          <w:color w:val="0E5C04"/>
        </w:rPr>
        <w:t>4.8.3. Sidusus erinevate siseriiklike EL arengudokumentidega</w:t>
      </w:r>
      <w:bookmarkEnd w:id="74"/>
    </w:p>
    <w:p w14:paraId="2F6E257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Riiklikest arengudokumentidest on kahtlemata olulisemad </w:t>
      </w:r>
      <w:r>
        <w:rPr>
          <w:rFonts w:ascii="Times New Roman" w:eastAsia="Times New Roman" w:hAnsi="Times New Roman" w:cs="Times New Roman"/>
          <w:b/>
          <w:color w:val="0070C0"/>
        </w:rPr>
        <w:t>"</w:t>
      </w:r>
      <w:hyperlink r:id="rId31">
        <w:r>
          <w:rPr>
            <w:rFonts w:ascii="Times New Roman" w:eastAsia="Times New Roman" w:hAnsi="Times New Roman" w:cs="Times New Roman"/>
            <w:b/>
            <w:color w:val="0070C0"/>
            <w:u w:val="single"/>
          </w:rPr>
          <w:t>Põllumajanduse ja kalanduse arengukava aastani 2030"</w:t>
        </w:r>
      </w:hyperlink>
      <w:r>
        <w:rPr>
          <w:rFonts w:ascii="Times New Roman" w:eastAsia="Times New Roman" w:hAnsi="Times New Roman" w:cs="Times New Roman"/>
          <w:b/>
        </w:rPr>
        <w:t xml:space="preserve"> </w:t>
      </w:r>
      <w:r>
        <w:rPr>
          <w:rFonts w:ascii="Times New Roman" w:eastAsia="Times New Roman" w:hAnsi="Times New Roman" w:cs="Times New Roman"/>
        </w:rPr>
        <w:t xml:space="preserve">(seob ühtseks maaelu erinevad arengusuunad: kalandus, põllumajanduse, vesiviljeluse, toiduainetööstuse ja maa- ning rannapiirkondade arengu. Eesmärgiks on Eesti toit on eelistatud, keskkond ja elurikkus on hoitud, toidusektori ettevõtted on edukad ning maa- ja rannakogukonnad on elujõulised) ja </w:t>
      </w:r>
      <w:r>
        <w:rPr>
          <w:rFonts w:ascii="Times New Roman" w:eastAsia="Times New Roman" w:hAnsi="Times New Roman" w:cs="Times New Roman"/>
          <w:b/>
        </w:rPr>
        <w:t>"</w:t>
      </w:r>
      <w:hyperlink r:id="rId32">
        <w:r>
          <w:rPr>
            <w:rFonts w:ascii="Times New Roman" w:eastAsia="Times New Roman" w:hAnsi="Times New Roman" w:cs="Times New Roman"/>
            <w:b/>
            <w:color w:val="0070C0"/>
            <w:u w:val="single"/>
          </w:rPr>
          <w:t>Euroopa Merendus-Kalandus- ja Vesiviljelusfondi rakenduskava 2021-2027</w:t>
        </w:r>
      </w:hyperlink>
      <w:r>
        <w:rPr>
          <w:rFonts w:ascii="Times New Roman" w:eastAsia="Times New Roman" w:hAnsi="Times New Roman" w:cs="Times New Roman"/>
          <w:b/>
          <w:color w:val="0070C0"/>
        </w:rPr>
        <w:t>”</w:t>
      </w:r>
      <w:r>
        <w:rPr>
          <w:rFonts w:ascii="Times New Roman" w:eastAsia="Times New Roman" w:hAnsi="Times New Roman" w:cs="Times New Roman"/>
        </w:rPr>
        <w:t xml:space="preserve"> (rakenduskava eesmärk on rakendada Euroopa Merendus-, Kalandus- ja Vesiviljelusfondi 2021–2027 (EMKVF) raames meetmeid ja tegevusi, mis toetavad Eesti kalandus- ja vesiviljelussektori peamiste eesmärkide saavutamist EL Ühise Kalanduspoliitika (ÜKP) rakendamisel), mis on käesoleva strateegia otsesed alusdokumendid, määrates ära kalanduspiirkonna strateegia elluviimise  tegevussuunad ja toetatavad tegevused.</w:t>
      </w:r>
    </w:p>
    <w:p w14:paraId="2F9FA19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kõiki valdkonna arengudokumentide eesmärke (tegevussuunad 1, 2, 3, 4, 5, 6)</w:t>
      </w:r>
    </w:p>
    <w:p w14:paraId="1A06FE84" w14:textId="77777777" w:rsidR="008312AA" w:rsidRDefault="00000000">
      <w:pPr>
        <w:spacing w:before="240" w:after="240" w:line="276" w:lineRule="auto"/>
        <w:rPr>
          <w:rFonts w:ascii="Times New Roman" w:eastAsia="Times New Roman" w:hAnsi="Times New Roman" w:cs="Times New Roman"/>
        </w:rPr>
      </w:pPr>
      <w:hyperlink r:id="rId33">
        <w:r>
          <w:rPr>
            <w:rFonts w:ascii="Times New Roman" w:eastAsia="Times New Roman" w:hAnsi="Times New Roman" w:cs="Times New Roman"/>
            <w:b/>
            <w:color w:val="0070C0"/>
            <w:u w:val="single"/>
          </w:rPr>
          <w:t>Üleriigiline planeering Eesti 2030</w:t>
        </w:r>
      </w:hyperlink>
      <w:r>
        <w:rPr>
          <w:rFonts w:ascii="Times New Roman" w:eastAsia="Times New Roman" w:hAnsi="Times New Roman" w:cs="Times New Roman"/>
          <w:b/>
        </w:rPr>
        <w:t xml:space="preserve"> -</w:t>
      </w:r>
      <w:r>
        <w:rPr>
          <w:rFonts w:ascii="Times New Roman" w:eastAsia="Times New Roman" w:hAnsi="Times New Roman" w:cs="Times New Roman"/>
        </w:rPr>
        <w:t>töökohtade loomine ja tagamine toimepiirkondades, väikesadamate arendamine sh sidumine multifunktsionaalses võtmes; turismi arenguvõimaluste parandamine.</w:t>
      </w:r>
    </w:p>
    <w:p w14:paraId="195ECD92"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töökohtade säilimist ja loomist. Väikesadamate arendamist ja ranniku- ning kalaturismi arenguvõimaluste parendamist (tegevussuunad 2 ja 6).</w:t>
      </w:r>
    </w:p>
    <w:p w14:paraId="650115AE" w14:textId="77777777" w:rsidR="008312AA" w:rsidRDefault="00000000">
      <w:pPr>
        <w:spacing w:before="240" w:after="240" w:line="276" w:lineRule="auto"/>
        <w:rPr>
          <w:rFonts w:ascii="Times New Roman" w:eastAsia="Times New Roman" w:hAnsi="Times New Roman" w:cs="Times New Roman"/>
        </w:rPr>
      </w:pPr>
      <w:hyperlink r:id="rId34">
        <w:r>
          <w:rPr>
            <w:rStyle w:val="Hperlink"/>
            <w:rFonts w:ascii="Times New Roman" w:eastAsia="Times New Roman" w:hAnsi="Times New Roman" w:cs="Times New Roman"/>
            <w:b/>
            <w:color w:val="0070C0"/>
          </w:rPr>
          <w:t>Ühtekuuluvuspoliitika fondide rakenduskava 2021-2027</w:t>
        </w:r>
      </w:hyperlink>
      <w:r>
        <w:rPr>
          <w:rFonts w:ascii="Times New Roman" w:eastAsia="Times New Roman" w:hAnsi="Times New Roman" w:cs="Times New Roman"/>
          <w:color w:val="0070C0"/>
        </w:rPr>
        <w:t xml:space="preserve"> </w:t>
      </w:r>
      <w:r>
        <w:rPr>
          <w:rFonts w:ascii="Times New Roman" w:eastAsia="Times New Roman" w:hAnsi="Times New Roman" w:cs="Times New Roman"/>
        </w:rPr>
        <w:t>- rõhutab nutika majanduskasvu ja ettevõtluse eeltingimuste loomise vajadust, rohelisemat ja ühendatumat Eestit, ühiskonna vajadustele vastavate kvaliteetsete ruumide ja taristute arendamist ning paindlike ja vajadustel põhinevate elukestva õppe võimaluste loomist.</w:t>
      </w:r>
    </w:p>
    <w:p w14:paraId="75A9A487"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nutikat majanduskasvu, rohemajanduse arendamist, kalurkonna vajadustele vastavate kvaliteetsete ruumide ja taristu arendamist ja elukestva õppe võimaluste loomist (tegevussuunad 1, 2, 3, 4, 5, 6).</w:t>
      </w:r>
    </w:p>
    <w:p w14:paraId="0819B39A" w14:textId="77777777" w:rsidR="008312AA" w:rsidRDefault="00000000">
      <w:pPr>
        <w:spacing w:before="240" w:after="240" w:line="276" w:lineRule="auto"/>
        <w:rPr>
          <w:rFonts w:ascii="Times New Roman" w:eastAsia="Times New Roman" w:hAnsi="Times New Roman" w:cs="Times New Roman"/>
        </w:rPr>
      </w:pPr>
      <w:hyperlink r:id="rId35">
        <w:r>
          <w:rPr>
            <w:rFonts w:ascii="Times New Roman" w:eastAsia="Times New Roman" w:hAnsi="Times New Roman" w:cs="Times New Roman"/>
            <w:b/>
            <w:color w:val="0070C0"/>
            <w:u w:val="single"/>
          </w:rPr>
          <w:t>Euroopa Liidu Läänemere piirkonna strateegia ja makropiirkondade osa tulevases ühtekuuluvuspoliitikas</w:t>
        </w:r>
        <w:r>
          <w:rPr>
            <w:rFonts w:ascii="Times New Roman" w:eastAsia="Times New Roman" w:hAnsi="Times New Roman" w:cs="Times New Roman"/>
            <w:b/>
            <w:u w:val="single"/>
          </w:rPr>
          <w:t xml:space="preserve">- </w:t>
        </w:r>
      </w:hyperlink>
      <w:r>
        <w:rPr>
          <w:rFonts w:ascii="Times New Roman" w:eastAsia="Times New Roman" w:hAnsi="Times New Roman" w:cs="Times New Roman"/>
          <w:b/>
        </w:rPr>
        <w:t xml:space="preserve"> </w:t>
      </w:r>
      <w:r>
        <w:rPr>
          <w:rFonts w:ascii="Times New Roman" w:eastAsia="Times New Roman" w:hAnsi="Times New Roman" w:cs="Times New Roman"/>
        </w:rPr>
        <w:t xml:space="preserve">strateegia peamine tähelepanu on keskendunud Läänemere reostuse </w:t>
      </w:r>
      <w:r>
        <w:rPr>
          <w:rFonts w:ascii="Times New Roman" w:eastAsia="Times New Roman" w:hAnsi="Times New Roman" w:cs="Times New Roman"/>
        </w:rPr>
        <w:lastRenderedPageBreak/>
        <w:t>vähendamisele ning ärahoidmisele, innovatsiooni ja jõukuse edendamisele ettevõtluses (väike ja keskmine) ning ligipääsetavuse ja ohutuse ning turvalisuse tagamisele.</w:t>
      </w:r>
    </w:p>
    <w:p w14:paraId="5D0BC56E"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rannikumere looduskeskkonna tingimuste parendamist ja innovatsiooni ja jõukuse edendamist kalurkonna ettevõtluses (tegevussuund 1, 2, 3, 4).</w:t>
      </w:r>
    </w:p>
    <w:p w14:paraId="0911B8CB" w14:textId="77777777" w:rsidR="008312AA" w:rsidRDefault="00000000">
      <w:pPr>
        <w:spacing w:before="240" w:after="240" w:line="276" w:lineRule="auto"/>
        <w:rPr>
          <w:rFonts w:ascii="Times New Roman" w:eastAsia="Times New Roman" w:hAnsi="Times New Roman" w:cs="Times New Roman"/>
        </w:rPr>
      </w:pPr>
      <w:hyperlink r:id="rId36">
        <w:r>
          <w:rPr>
            <w:rFonts w:ascii="Times New Roman" w:eastAsia="Times New Roman" w:hAnsi="Times New Roman" w:cs="Times New Roman"/>
            <w:b/>
            <w:color w:val="0070C0"/>
            <w:u w:val="single"/>
          </w:rPr>
          <w:t>Transpordi ja liikuvuse arengukava 2021-2035</w:t>
        </w:r>
      </w:hyperlink>
      <w:r>
        <w:rPr>
          <w:rFonts w:ascii="Times New Roman" w:eastAsia="Times New Roman" w:hAnsi="Times New Roman" w:cs="Times New Roman"/>
          <w:b/>
        </w:rPr>
        <w:t xml:space="preserve"> - </w:t>
      </w:r>
      <w:r>
        <w:rPr>
          <w:rFonts w:ascii="Times New Roman" w:eastAsia="Times New Roman" w:hAnsi="Times New Roman" w:cs="Times New Roman"/>
        </w:rPr>
        <w:t>rannaäärne elu- ja külastuskeskkond on atraktiivne, soodustades mereturismi ja kohaliku ettevõtluse arengut ning merekultuuri edasikandmist.</w:t>
      </w:r>
    </w:p>
    <w:p w14:paraId="07EB0B62"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rannapiirkondade ja kohaliku ettevõtluse arengut ning merekultuuri edendamist (tegevussuunad 1, 2, 3, 5, 6).</w:t>
      </w:r>
    </w:p>
    <w:p w14:paraId="5F205497" w14:textId="77777777" w:rsidR="008312AA" w:rsidRDefault="00000000">
      <w:pPr>
        <w:spacing w:before="240" w:after="240" w:line="276" w:lineRule="auto"/>
        <w:rPr>
          <w:rFonts w:ascii="Times New Roman" w:eastAsia="Times New Roman" w:hAnsi="Times New Roman" w:cs="Times New Roman"/>
        </w:rPr>
      </w:pPr>
      <w:hyperlink r:id="rId37">
        <w:r>
          <w:rPr>
            <w:rFonts w:ascii="Times New Roman" w:eastAsia="Times New Roman" w:hAnsi="Times New Roman" w:cs="Times New Roman"/>
            <w:b/>
            <w:color w:val="0070C0"/>
            <w:u w:val="single"/>
          </w:rPr>
          <w:t xml:space="preserve">Eesti digiühiskonna arengukava 2030 </w:t>
        </w:r>
        <w:r>
          <w:rPr>
            <w:rFonts w:ascii="Times New Roman" w:eastAsia="Times New Roman" w:hAnsi="Times New Roman" w:cs="Times New Roman"/>
            <w:b/>
            <w:u w:val="single"/>
          </w:rPr>
          <w:t>-</w:t>
        </w:r>
      </w:hyperlink>
      <w:r>
        <w:rPr>
          <w:rFonts w:ascii="Times New Roman" w:eastAsia="Times New Roman" w:hAnsi="Times New Roman" w:cs="Times New Roman"/>
          <w:b/>
        </w:rPr>
        <w:t xml:space="preserve"> </w:t>
      </w:r>
      <w:r>
        <w:rPr>
          <w:rFonts w:ascii="Times New Roman" w:eastAsia="Times New Roman" w:hAnsi="Times New Roman" w:cs="Times New Roman"/>
        </w:rPr>
        <w:t xml:space="preserve">Eesti majandus on uuendusmeelne ja </w:t>
      </w:r>
      <w:proofErr w:type="spellStart"/>
      <w:r>
        <w:rPr>
          <w:rFonts w:ascii="Times New Roman" w:eastAsia="Times New Roman" w:hAnsi="Times New Roman" w:cs="Times New Roman"/>
        </w:rPr>
        <w:t>teadmistepõhine</w:t>
      </w:r>
      <w:proofErr w:type="spellEnd"/>
      <w:r>
        <w:rPr>
          <w:rFonts w:ascii="Times New Roman" w:eastAsia="Times New Roman" w:hAnsi="Times New Roman" w:cs="Times New Roman"/>
        </w:rPr>
        <w:t>, kasutades uusi tehnoloogiaid ja ärimudeleid ning paindlikke töövorme.</w:t>
      </w:r>
    </w:p>
    <w:p w14:paraId="765A0237"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arengustrateegia eesmärgid toetavad uute tehnoloogiate kasutuselevõtmist (tegevussuund 1, 2, 3). </w:t>
      </w:r>
    </w:p>
    <w:p w14:paraId="7613DE41" w14:textId="77777777" w:rsidR="008312AA" w:rsidRDefault="00000000">
      <w:pPr>
        <w:spacing w:before="240" w:after="240" w:line="276" w:lineRule="auto"/>
        <w:rPr>
          <w:rFonts w:ascii="Times New Roman" w:eastAsia="Times New Roman" w:hAnsi="Times New Roman" w:cs="Times New Roman"/>
        </w:rPr>
      </w:pPr>
      <w:hyperlink r:id="rId38">
        <w:r>
          <w:rPr>
            <w:rFonts w:ascii="Times New Roman" w:eastAsia="Times New Roman" w:hAnsi="Times New Roman" w:cs="Times New Roman"/>
            <w:b/>
            <w:color w:val="0070C0"/>
            <w:u w:val="single"/>
          </w:rPr>
          <w:t xml:space="preserve">Kliimamuutustega kohanemise arengukava 2030 </w:t>
        </w:r>
        <w:r>
          <w:rPr>
            <w:rFonts w:ascii="Times New Roman" w:eastAsia="Times New Roman" w:hAnsi="Times New Roman" w:cs="Times New Roman"/>
            <w:b/>
            <w:u w:val="single"/>
          </w:rPr>
          <w:t>-</w:t>
        </w:r>
      </w:hyperlink>
      <w:r>
        <w:rPr>
          <w:rFonts w:ascii="Times New Roman" w:eastAsia="Times New Roman" w:hAnsi="Times New Roman" w:cs="Times New Roman"/>
          <w:b/>
        </w:rPr>
        <w:t xml:space="preserve"> </w:t>
      </w:r>
      <w:proofErr w:type="spellStart"/>
      <w:r>
        <w:rPr>
          <w:rFonts w:ascii="Times New Roman" w:eastAsia="Times New Roman" w:hAnsi="Times New Roman" w:cs="Times New Roman"/>
        </w:rPr>
        <w:t>üldeesmärk</w:t>
      </w:r>
      <w:proofErr w:type="spellEnd"/>
      <w:r>
        <w:rPr>
          <w:rFonts w:ascii="Times New Roman" w:eastAsia="Times New Roman" w:hAnsi="Times New Roman" w:cs="Times New Roman"/>
        </w:rPr>
        <w:t xml:space="preserve"> on suurendada Eesti riigi regionaalse ja kohaliku tasandi valmidust ja võimet kliimamuutuste mõjuga kohanemiseks. Alameesmärk: Eestile oluliste </w:t>
      </w:r>
      <w:proofErr w:type="spellStart"/>
      <w:r>
        <w:rPr>
          <w:rFonts w:ascii="Times New Roman" w:eastAsia="Times New Roman" w:hAnsi="Times New Roman" w:cs="Times New Roman"/>
        </w:rPr>
        <w:t>biomajandussektorite</w:t>
      </w:r>
      <w:proofErr w:type="spellEnd"/>
      <w:r>
        <w:rPr>
          <w:rFonts w:ascii="Times New Roman" w:eastAsia="Times New Roman" w:hAnsi="Times New Roman" w:cs="Times New Roman"/>
        </w:rPr>
        <w:t xml:space="preserve"> jätkusuutlikkus on tagatud kliimateadliku põllu-, metsa-, vee-, kala- ja puhkemajanduse ning turba kaevandamisega.</w:t>
      </w:r>
    </w:p>
    <w:p w14:paraId="73426191"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kalurkonna valmidust ja võimekust kliimamuutuste mõjuga paremini toime tulla (tegevussuund 2, 3, 6).</w:t>
      </w:r>
    </w:p>
    <w:p w14:paraId="54A5DE8D" w14:textId="77777777" w:rsidR="008312AA" w:rsidRPr="00E3093D" w:rsidRDefault="00000000">
      <w:pPr>
        <w:pStyle w:val="Pealkiri3"/>
        <w:spacing w:before="240" w:after="240" w:line="276" w:lineRule="auto"/>
        <w:ind w:left="0" w:firstLine="0"/>
        <w:rPr>
          <w:rFonts w:ascii="Times New Roman" w:eastAsia="Times New Roman" w:hAnsi="Times New Roman" w:cs="Times New Roman"/>
          <w:color w:val="0E5C04"/>
        </w:rPr>
      </w:pPr>
      <w:bookmarkStart w:id="75" w:name="_heading=h.7jfa5dggxb5"/>
      <w:bookmarkStart w:id="76" w:name="_Toc157420970"/>
      <w:bookmarkEnd w:id="75"/>
      <w:r w:rsidRPr="00E3093D">
        <w:rPr>
          <w:rFonts w:ascii="Times New Roman" w:eastAsia="Times New Roman" w:hAnsi="Times New Roman" w:cs="Times New Roman"/>
          <w:color w:val="0E5C04"/>
        </w:rPr>
        <w:t>4.8.4. Sidusus erinevate piirkondlike arengudokumentidega</w:t>
      </w:r>
      <w:bookmarkEnd w:id="76"/>
    </w:p>
    <w:p w14:paraId="7A57B032" w14:textId="77777777" w:rsidR="008312AA" w:rsidRDefault="00000000">
      <w:pPr>
        <w:spacing w:before="240" w:after="240" w:line="276" w:lineRule="auto"/>
        <w:rPr>
          <w:rFonts w:ascii="Times New Roman" w:eastAsia="Times New Roman" w:hAnsi="Times New Roman" w:cs="Times New Roman"/>
        </w:rPr>
      </w:pPr>
      <w:hyperlink r:id="rId39">
        <w:r>
          <w:rPr>
            <w:rFonts w:ascii="Times New Roman" w:eastAsia="Times New Roman" w:hAnsi="Times New Roman" w:cs="Times New Roman"/>
            <w:b/>
            <w:color w:val="0070C0"/>
            <w:u w:val="single"/>
          </w:rPr>
          <w:t>Saare maakonna arengustrateegia 2022- 2035</w:t>
        </w:r>
      </w:hyperlink>
      <w:r>
        <w:rPr>
          <w:rFonts w:ascii="Times New Roman" w:eastAsia="Times New Roman" w:hAnsi="Times New Roman" w:cs="Times New Roman"/>
          <w:b/>
          <w:color w:val="0070C0"/>
        </w:rPr>
        <w:t xml:space="preserve"> </w:t>
      </w:r>
      <w:r>
        <w:rPr>
          <w:rFonts w:ascii="Times New Roman" w:eastAsia="Times New Roman" w:hAnsi="Times New Roman" w:cs="Times New Roman"/>
          <w:b/>
        </w:rPr>
        <w:t>–</w:t>
      </w:r>
      <w:r>
        <w:rPr>
          <w:rFonts w:ascii="Times New Roman" w:eastAsia="Times New Roman" w:hAnsi="Times New Roman" w:cs="Times New Roman"/>
        </w:rPr>
        <w:t xml:space="preserve"> eesmärk 2 alaeesmärgid: olemasolevates traditsiooniliselt tugevates sektorites lisandväärtuse kasvatamine. Saare maakonna puhas looduskeskkond on suure potentsiaaliga ressurss, mida kasutada nutikalt ja keskkonnahoidlikult majandusliku heaolu loomiseks.</w:t>
      </w:r>
    </w:p>
    <w:p w14:paraId="110F5A5D"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lisandväärtuse andmist kohalikule toormele, ettevõtluses nutikamate ja keskkonnasäästlikemate töövõtete, energialahenduste jms juurutamist (tegevussuund 1, 2, 3).</w:t>
      </w:r>
    </w:p>
    <w:p w14:paraId="150A605A" w14:textId="77777777" w:rsidR="008312AA" w:rsidRDefault="00000000">
      <w:pPr>
        <w:spacing w:before="240" w:after="240" w:line="276" w:lineRule="auto"/>
        <w:rPr>
          <w:rFonts w:ascii="Times New Roman" w:eastAsia="Times New Roman" w:hAnsi="Times New Roman" w:cs="Times New Roman"/>
        </w:rPr>
      </w:pPr>
      <w:hyperlink r:id="rId40">
        <w:r>
          <w:rPr>
            <w:rFonts w:ascii="Times New Roman" w:eastAsia="Times New Roman" w:hAnsi="Times New Roman" w:cs="Times New Roman"/>
            <w:b/>
            <w:color w:val="0070C0"/>
            <w:u w:val="single"/>
          </w:rPr>
          <w:t>Saare maakonna kestliku turismi arengustrateegia 2022- 20</w:t>
        </w:r>
      </w:hyperlink>
      <w:r>
        <w:rPr>
          <w:rFonts w:ascii="Times New Roman" w:eastAsia="Times New Roman" w:hAnsi="Times New Roman" w:cs="Times New Roman"/>
          <w:b/>
          <w:color w:val="0070C0"/>
          <w:u w:val="single"/>
        </w:rPr>
        <w:t>30</w:t>
      </w:r>
      <w:r>
        <w:rPr>
          <w:rFonts w:ascii="Times New Roman" w:eastAsia="Times New Roman" w:hAnsi="Times New Roman" w:cs="Times New Roman"/>
          <w:b/>
        </w:rPr>
        <w:t xml:space="preserve"> </w:t>
      </w:r>
      <w:r>
        <w:rPr>
          <w:rFonts w:ascii="Times New Roman" w:eastAsia="Times New Roman" w:hAnsi="Times New Roman" w:cs="Times New Roman"/>
        </w:rPr>
        <w:t xml:space="preserve">- eesmärk on tagada Saare maakonna konkurentsivõime ja atraktiivsus turismisihtkohana läbi jätkusuutliku sihtkoha arendamise, eristumise, digitaliseerimise ja külastaja vajadustele vastavate uuenduslike turismitoodete ja -teenuste väljaarendamise. Uute koostöövõrgustikul põhinevate piirkonnaspetsiifiliste turismitoodete arendamine (sündmused, teenused, paketid atraktsioonid, marsruudid).   </w:t>
      </w:r>
    </w:p>
    <w:p w14:paraId="4A1F29DF"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lastRenderedPageBreak/>
        <w:t>Sidusus:</w:t>
      </w:r>
      <w:r>
        <w:rPr>
          <w:rFonts w:ascii="Times New Roman" w:eastAsia="Times New Roman" w:hAnsi="Times New Roman" w:cs="Times New Roman"/>
        </w:rPr>
        <w:t xml:space="preserve"> Saaremaa kalanduspiirkonna arengustrateegia eesmärgid toetavad rannapiirkonnaga haakuvas turismivaldkonnas uuenduslike turismitoodete ja teenuste arendamist (tegevussuund 2, 3, 5).</w:t>
      </w:r>
    </w:p>
    <w:p w14:paraId="28962D4D" w14:textId="77777777" w:rsidR="008312AA" w:rsidRDefault="00000000">
      <w:pPr>
        <w:spacing w:before="240" w:after="240" w:line="276" w:lineRule="auto"/>
        <w:rPr>
          <w:rFonts w:ascii="Times New Roman" w:eastAsia="Times New Roman" w:hAnsi="Times New Roman" w:cs="Times New Roman"/>
        </w:rPr>
      </w:pPr>
      <w:hyperlink r:id="rId41">
        <w:r>
          <w:rPr>
            <w:rFonts w:ascii="Times New Roman" w:eastAsia="Times New Roman" w:hAnsi="Times New Roman" w:cs="Times New Roman"/>
            <w:b/>
            <w:color w:val="0070C0"/>
            <w:u w:val="single"/>
          </w:rPr>
          <w:t>Muhu valla arengukava 2019-2030</w:t>
        </w:r>
      </w:hyperlink>
      <w:r>
        <w:rPr>
          <w:rFonts w:ascii="Times New Roman" w:eastAsia="Times New Roman" w:hAnsi="Times New Roman" w:cs="Times New Roman"/>
          <w:b/>
          <w:color w:val="0070C0"/>
        </w:rPr>
        <w:t xml:space="preserve"> </w:t>
      </w:r>
      <w:r>
        <w:rPr>
          <w:rFonts w:ascii="Times New Roman" w:eastAsia="Times New Roman" w:hAnsi="Times New Roman" w:cs="Times New Roman"/>
        </w:rPr>
        <w:t>- loodsuskeskkonna seisundi parandamine kudemisrändele ja kalavarudele positiivse mõju avaldamiseks. Kohaliku ettevõtluse toetamiseks on loodud vajalik taristu. Muhus on tugeva identiteedi ja omanäolise kultuuritraditsiooniga kogukond. Loodud on tingimused elanike jäämiseks ja elama asumiseks Muhu valda. Kõigile on loodud mitmekülgsed võimalused eneseteostuseks ja vaba aja sisustamiseks.</w:t>
      </w:r>
    </w:p>
    <w:p w14:paraId="24549BEC"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kudealade taastamist, kalurite ettevõtluse arendamist, rannakogukondade identiteedi tõstmist ning kalandus- ja merendusalase kultuuripärandi edendamist. Kaluritelele on loodud võimalus enesetäiendamiseks (tegevussuund, 1, 2, 3, 4, 5, 6).</w:t>
      </w:r>
    </w:p>
    <w:p w14:paraId="5CEE6202" w14:textId="77777777" w:rsidR="008312AA" w:rsidRDefault="00000000">
      <w:pPr>
        <w:spacing w:before="240" w:after="240" w:line="276" w:lineRule="auto"/>
        <w:rPr>
          <w:rFonts w:ascii="Times New Roman" w:eastAsia="Times New Roman" w:hAnsi="Times New Roman" w:cs="Times New Roman"/>
        </w:rPr>
      </w:pPr>
      <w:hyperlink r:id="rId42">
        <w:r>
          <w:rPr>
            <w:rFonts w:ascii="Times New Roman" w:eastAsia="Times New Roman" w:hAnsi="Times New Roman" w:cs="Times New Roman"/>
            <w:b/>
            <w:color w:val="0070C0"/>
            <w:u w:val="single"/>
          </w:rPr>
          <w:t xml:space="preserve">Ruhnu valla arengukava 2020 - 2030 </w:t>
        </w:r>
      </w:hyperlink>
      <w:hyperlink r:id="rId43">
        <w:r>
          <w:rPr>
            <w:rFonts w:ascii="Times New Roman" w:eastAsia="Times New Roman" w:hAnsi="Times New Roman" w:cs="Times New Roman"/>
            <w:u w:val="single"/>
          </w:rPr>
          <w:t>-</w:t>
        </w:r>
      </w:hyperlink>
      <w:r>
        <w:rPr>
          <w:rFonts w:ascii="Times New Roman" w:eastAsia="Times New Roman" w:hAnsi="Times New Roman" w:cs="Times New Roman"/>
        </w:rPr>
        <w:t xml:space="preserve">  loodushoidu ja turvalise elukeskkonna hoidmist peetakse esmatähtsateks. Ruhnu on kaasaegse elukeskkonnaga saar, kus elab rõõmus, hooliv ja ettevõtlik kogukond, hoides ja edasi kandes ainulaadset kultuuripärandit. Ruhnus on soodsad tingimused ettevõtluse ja turismi arenguks. Ruhnus on ühiste eesmärkide nimel tegutsev tugev ja ühtehoidev kogukond, toetatakse omaalgatust ja valla juhtimine on kogukonda kaasav.</w:t>
      </w:r>
    </w:p>
    <w:p w14:paraId="4032C62F"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looduskeskkonna parendamist, kalurkonna ettevõtluse arendamist ja kalandus- ja merendusalase kultuuripärandi edendamist ning rannakogukondade identiteedi tõstmist (tegevussuund 2, 3, 4, 5).</w:t>
      </w:r>
    </w:p>
    <w:p w14:paraId="76E9E2A5" w14:textId="77777777" w:rsidR="008312AA" w:rsidRDefault="00000000">
      <w:pPr>
        <w:spacing w:before="240" w:after="240" w:line="276" w:lineRule="auto"/>
        <w:rPr>
          <w:rFonts w:ascii="Times New Roman" w:eastAsia="Times New Roman" w:hAnsi="Times New Roman" w:cs="Times New Roman"/>
        </w:rPr>
      </w:pPr>
      <w:hyperlink r:id="rId44">
        <w:r>
          <w:rPr>
            <w:rFonts w:ascii="Times New Roman" w:eastAsia="Times New Roman" w:hAnsi="Times New Roman" w:cs="Times New Roman"/>
            <w:b/>
            <w:color w:val="0070C0"/>
            <w:u w:val="single"/>
          </w:rPr>
          <w:t>Saaremaa valla ettevõtluskeskkonna ja innovatsiooni arengukava 2020-2030</w:t>
        </w:r>
        <w:r>
          <w:rPr>
            <w:rFonts w:ascii="Times New Roman" w:eastAsia="Times New Roman" w:hAnsi="Times New Roman" w:cs="Times New Roman"/>
            <w:b/>
            <w:u w:val="single"/>
          </w:rPr>
          <w:t xml:space="preserve"> </w:t>
        </w:r>
      </w:hyperlink>
      <w:r>
        <w:rPr>
          <w:rFonts w:ascii="Times New Roman" w:eastAsia="Times New Roman" w:hAnsi="Times New Roman" w:cs="Times New Roman"/>
          <w:b/>
        </w:rPr>
        <w:t>-</w:t>
      </w:r>
      <w:r>
        <w:rPr>
          <w:rFonts w:ascii="Times New Roman" w:eastAsia="Times New Roman" w:hAnsi="Times New Roman" w:cs="Times New Roman"/>
        </w:rPr>
        <w:t xml:space="preserve"> Saaremaa on uuenduste katselava, mis toetab uute tehnoloogiate, algatuste ja lahenduste loomist ning rakendamist, kohalike ressursside </w:t>
      </w:r>
      <w:proofErr w:type="spellStart"/>
      <w:r>
        <w:rPr>
          <w:rFonts w:ascii="Times New Roman" w:eastAsia="Times New Roman" w:hAnsi="Times New Roman" w:cs="Times New Roman"/>
        </w:rPr>
        <w:t>väärindamist</w:t>
      </w:r>
      <w:proofErr w:type="spellEnd"/>
      <w:r>
        <w:rPr>
          <w:rFonts w:ascii="Times New Roman" w:eastAsia="Times New Roman" w:hAnsi="Times New Roman" w:cs="Times New Roman"/>
        </w:rPr>
        <w:t xml:space="preserve">, nutikate töökohtade lisandumist ja </w:t>
      </w:r>
      <w:proofErr w:type="spellStart"/>
      <w:r>
        <w:rPr>
          <w:rFonts w:ascii="Times New Roman" w:eastAsia="Times New Roman" w:hAnsi="Times New Roman" w:cs="Times New Roman"/>
        </w:rPr>
        <w:t>kaugtöötamist</w:t>
      </w:r>
      <w:proofErr w:type="spellEnd"/>
      <w:r>
        <w:rPr>
          <w:rFonts w:ascii="Times New Roman" w:eastAsia="Times New Roman" w:hAnsi="Times New Roman" w:cs="Times New Roman"/>
        </w:rPr>
        <w:t xml:space="preserve">. Haridus ning täiend- ja ümberõppevõimalused toetavad ettevõtluse arengut. Ettevõtjatele koolituste ja seminaride korraldamine. Meretoorme </w:t>
      </w:r>
      <w:proofErr w:type="spellStart"/>
      <w:r>
        <w:rPr>
          <w:rFonts w:ascii="Times New Roman" w:eastAsia="Times New Roman" w:hAnsi="Times New Roman" w:cs="Times New Roman"/>
        </w:rPr>
        <w:t>väärindamine</w:t>
      </w:r>
      <w:proofErr w:type="spellEnd"/>
      <w:r>
        <w:rPr>
          <w:rFonts w:ascii="Times New Roman" w:eastAsia="Times New Roman" w:hAnsi="Times New Roman" w:cs="Times New Roman"/>
        </w:rPr>
        <w:t xml:space="preserve">. Saaremaal on turvaline ja atraktiivne ettevõtlus- ja elukeskkond. Ettevõtjate koostöö arendamine ühiste huvide väljaselgitamiseks ning ühistegevuste (sh tööjõu arendamine, tootearendus- ja ekspordivõimalused) kavandamiseks ja elluviimiseks. Siseriiklik ja rahvusvaheline koostöö teiste piirkondadega ettevõtluskeskkonna ja innovatsiooni arendamiseks. Projektide kavandamine ning elluviimine ettevõtluskeskkonna ja innovatsiooni arendamiseks. Sinimajanduses tervikliku väärtusahela loomine (sh laevaehitus ja -hooldus, vesiviljelus, kalapüük ja -töötlus, sadamamajandus, meretransport, biosfääriturism). Meretoorme </w:t>
      </w:r>
      <w:proofErr w:type="spellStart"/>
      <w:r>
        <w:rPr>
          <w:rFonts w:ascii="Times New Roman" w:eastAsia="Times New Roman" w:hAnsi="Times New Roman" w:cs="Times New Roman"/>
        </w:rPr>
        <w:t>väärindamiseks</w:t>
      </w:r>
      <w:proofErr w:type="spellEnd"/>
      <w:r>
        <w:rPr>
          <w:rFonts w:ascii="Times New Roman" w:eastAsia="Times New Roman" w:hAnsi="Times New Roman" w:cs="Times New Roman"/>
        </w:rPr>
        <w:t xml:space="preserve"> tervikliku väärtusahela loomine. Biomajandus (sh kohalike </w:t>
      </w:r>
      <w:proofErr w:type="spellStart"/>
      <w:r>
        <w:rPr>
          <w:rFonts w:ascii="Times New Roman" w:eastAsia="Times New Roman" w:hAnsi="Times New Roman" w:cs="Times New Roman"/>
        </w:rPr>
        <w:t>bioressursside</w:t>
      </w:r>
      <w:proofErr w:type="spellEnd"/>
      <w:r>
        <w:rPr>
          <w:rFonts w:ascii="Times New Roman" w:eastAsia="Times New Roman" w:hAnsi="Times New Roman" w:cs="Times New Roman"/>
        </w:rPr>
        <w:t xml:space="preserve">, nt taimede, loomade, veetoorme ja puidu </w:t>
      </w:r>
      <w:proofErr w:type="spellStart"/>
      <w:r>
        <w:rPr>
          <w:rFonts w:ascii="Times New Roman" w:eastAsia="Times New Roman" w:hAnsi="Times New Roman" w:cs="Times New Roman"/>
        </w:rPr>
        <w:t>väärindamine</w:t>
      </w:r>
      <w:proofErr w:type="spellEnd"/>
      <w:r>
        <w:rPr>
          <w:rFonts w:ascii="Times New Roman" w:eastAsia="Times New Roman" w:hAnsi="Times New Roman" w:cs="Times New Roman"/>
        </w:rPr>
        <w:t xml:space="preserve"> uute tehnoloogiate abil, taastuvenergeetika ja energiatõhususe edendamine. Kohalike ressursside </w:t>
      </w:r>
      <w:proofErr w:type="spellStart"/>
      <w:r>
        <w:rPr>
          <w:rFonts w:ascii="Times New Roman" w:eastAsia="Times New Roman" w:hAnsi="Times New Roman" w:cs="Times New Roman"/>
        </w:rPr>
        <w:t>väärindamine</w:t>
      </w:r>
      <w:proofErr w:type="spellEnd"/>
      <w:r>
        <w:rPr>
          <w:rFonts w:ascii="Times New Roman" w:eastAsia="Times New Roman" w:hAnsi="Times New Roman" w:cs="Times New Roman"/>
        </w:rPr>
        <w:t>. Digitaalsete võimaluste senisest laiem kasutuselevõtmine ettevõtluse arenguks ja teenuste kättesaadavuse tagamiseks. Säästva arengu põhimõtete järgmine ja kestliku majandamise alase teadlikkuse edendamine.</w:t>
      </w:r>
    </w:p>
    <w:p w14:paraId="05A8D186"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lastRenderedPageBreak/>
        <w:t xml:space="preserve">Sidusus: </w:t>
      </w:r>
      <w:r>
        <w:rPr>
          <w:rFonts w:ascii="Times New Roman" w:eastAsia="Times New Roman" w:hAnsi="Times New Roman" w:cs="Times New Roman"/>
        </w:rPr>
        <w:t xml:space="preserve">Saaremaa kalanduspiirkonna arengustrateegia eesmärgid toetavad mere- ja muu kohaliku toorme </w:t>
      </w:r>
      <w:proofErr w:type="spellStart"/>
      <w:r>
        <w:rPr>
          <w:rFonts w:ascii="Times New Roman" w:eastAsia="Times New Roman" w:hAnsi="Times New Roman" w:cs="Times New Roman"/>
        </w:rPr>
        <w:t>väärindamist</w:t>
      </w:r>
      <w:proofErr w:type="spellEnd"/>
      <w:r>
        <w:rPr>
          <w:rFonts w:ascii="Times New Roman" w:eastAsia="Times New Roman" w:hAnsi="Times New Roman" w:cs="Times New Roman"/>
        </w:rPr>
        <w:t>, uute tehnoloogiate ja keskkonnasäästlike (energia)lahenduste kasutuselevõtmist kalandussektoris ning kalurite teadmiste ja oskuste edendamist (tegevussuunad 1, 2, 3, 6).</w:t>
      </w:r>
    </w:p>
    <w:p w14:paraId="387AC5A4" w14:textId="77777777" w:rsidR="008312AA" w:rsidRDefault="00000000">
      <w:pPr>
        <w:spacing w:before="240" w:after="240" w:line="276" w:lineRule="auto"/>
        <w:rPr>
          <w:rFonts w:ascii="Times New Roman" w:eastAsia="Times New Roman" w:hAnsi="Times New Roman" w:cs="Times New Roman"/>
        </w:rPr>
      </w:pPr>
      <w:hyperlink r:id="rId45">
        <w:r>
          <w:rPr>
            <w:rFonts w:ascii="Times New Roman" w:eastAsia="Times New Roman" w:hAnsi="Times New Roman" w:cs="Times New Roman"/>
            <w:b/>
            <w:color w:val="0070C0"/>
            <w:u w:val="single"/>
          </w:rPr>
          <w:t>Saaremaa valla kogukondliku tegevuse arengukava 2021-2030</w:t>
        </w:r>
      </w:hyperlink>
      <w:hyperlink r:id="rId46">
        <w:r>
          <w:rPr>
            <w:rFonts w:ascii="Times New Roman" w:eastAsia="Times New Roman" w:hAnsi="Times New Roman" w:cs="Times New Roman"/>
            <w:color w:val="0070C0"/>
            <w:u w:val="single"/>
          </w:rPr>
          <w:t xml:space="preserve"> </w:t>
        </w:r>
      </w:hyperlink>
      <w:r>
        <w:rPr>
          <w:rFonts w:ascii="Times New Roman" w:eastAsia="Times New Roman" w:hAnsi="Times New Roman" w:cs="Times New Roman"/>
        </w:rPr>
        <w:t>- Saaremaa valla kogukonnad on koostööle avatud, hästi toimetulevad ja traditsioone väärtustavad.</w:t>
      </w:r>
    </w:p>
    <w:p w14:paraId="58FCF4C0"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ranna- ja kalanduskogukondade koostööd, ranna- ja kalanduskogukondade identiteedi tugevdamist, ning kalandus- ja merendusalase kultuuripärandi säilitamist (tegevussuund 5).</w:t>
      </w:r>
    </w:p>
    <w:p w14:paraId="7B465139" w14:textId="77777777" w:rsidR="008312AA" w:rsidRDefault="00000000">
      <w:pPr>
        <w:spacing w:before="240" w:after="240" w:line="276" w:lineRule="auto"/>
        <w:rPr>
          <w:rFonts w:ascii="Times New Roman" w:eastAsia="Times New Roman" w:hAnsi="Times New Roman" w:cs="Times New Roman"/>
        </w:rPr>
      </w:pPr>
      <w:hyperlink r:id="rId47">
        <w:r>
          <w:rPr>
            <w:rFonts w:ascii="Times New Roman" w:eastAsia="Times New Roman" w:hAnsi="Times New Roman" w:cs="Times New Roman"/>
            <w:b/>
            <w:color w:val="0070C0"/>
            <w:u w:val="single"/>
          </w:rPr>
          <w:t>Saaremaa valla kultuuriarengukava  2020-2030</w:t>
        </w:r>
      </w:hyperlink>
      <w:r>
        <w:rPr>
          <w:rFonts w:ascii="Times New Roman" w:eastAsia="Times New Roman" w:hAnsi="Times New Roman" w:cs="Times New Roman"/>
          <w:color w:val="0070C0"/>
        </w:rPr>
        <w:t xml:space="preserve"> </w:t>
      </w:r>
      <w:r>
        <w:rPr>
          <w:rFonts w:ascii="Times New Roman" w:eastAsia="Times New Roman" w:hAnsi="Times New Roman" w:cs="Times New Roman"/>
        </w:rPr>
        <w:t xml:space="preserve">- Saaremaa on tänapäevase, kuid traditsioone hoidva, erksa ja aktiivse kultuurielu ning puhta elukeskkonnaga saar. Kultuur on väärtustatud ning osa saaremaisest kuvandist. Kultuuripärandi hoidmine ja säilitamine läbi pärandi restaureerimise ning korrastamise. Erinevatele sihtgruppidele mõeldud ürituste korraldamise toetamine. Traditsiooniliste ürituste korraldamise ja uute algatuste toetamine, arvestades kohaliku kultuuriruumi eripära ja piirkondlikke ning </w:t>
      </w:r>
      <w:proofErr w:type="spellStart"/>
      <w:r>
        <w:rPr>
          <w:rFonts w:ascii="Times New Roman" w:eastAsia="Times New Roman" w:hAnsi="Times New Roman" w:cs="Times New Roman"/>
        </w:rPr>
        <w:t>kihelkondlikke</w:t>
      </w:r>
      <w:proofErr w:type="spellEnd"/>
      <w:r>
        <w:rPr>
          <w:rFonts w:ascii="Times New Roman" w:eastAsia="Times New Roman" w:hAnsi="Times New Roman" w:cs="Times New Roman"/>
        </w:rPr>
        <w:t xml:space="preserve"> traditsioone.</w:t>
      </w:r>
    </w:p>
    <w:p w14:paraId="53A6F1FD"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ranna- ja kalanduskogukondade koostööd, ranna- ja kalanduskogukondade identiteedi tugevdamist, ning kalandus- ja merendusalase kultuuripärandi säilitamist (tegevussuund 5).</w:t>
      </w:r>
    </w:p>
    <w:p w14:paraId="469E6188" w14:textId="77777777" w:rsidR="008312AA" w:rsidRDefault="00000000">
      <w:pPr>
        <w:spacing w:before="240" w:after="240" w:line="276" w:lineRule="auto"/>
        <w:rPr>
          <w:rFonts w:ascii="Times New Roman" w:eastAsia="Times New Roman" w:hAnsi="Times New Roman" w:cs="Times New Roman"/>
        </w:rPr>
      </w:pPr>
      <w:hyperlink r:id="rId48">
        <w:r>
          <w:rPr>
            <w:rFonts w:ascii="Times New Roman" w:eastAsia="Times New Roman" w:hAnsi="Times New Roman" w:cs="Times New Roman"/>
            <w:b/>
            <w:color w:val="0070C0"/>
            <w:u w:val="single"/>
          </w:rPr>
          <w:t xml:space="preserve">Saaremaa valla sadamate arengukava 2021-2030 </w:t>
        </w:r>
      </w:hyperlink>
      <w:r>
        <w:rPr>
          <w:rFonts w:ascii="Times New Roman" w:eastAsia="Times New Roman" w:hAnsi="Times New Roman" w:cs="Times New Roman"/>
        </w:rPr>
        <w:t xml:space="preserve">-  merendus- ja kalandusturismi edendamine. Aastaks 2030 on Saaremaa valla territooriumil optimaalse tihedusega, nõuetekohane, turvaline ja toimiv ning </w:t>
      </w:r>
      <w:proofErr w:type="spellStart"/>
      <w:r>
        <w:rPr>
          <w:rFonts w:ascii="Times New Roman" w:eastAsia="Times New Roman" w:hAnsi="Times New Roman" w:cs="Times New Roman"/>
        </w:rPr>
        <w:t>jätkusuutlik</w:t>
      </w:r>
      <w:proofErr w:type="spellEnd"/>
      <w:r>
        <w:rPr>
          <w:rFonts w:ascii="Times New Roman" w:eastAsia="Times New Roman" w:hAnsi="Times New Roman" w:cs="Times New Roman"/>
        </w:rPr>
        <w:t xml:space="preserve"> sadamatevõrgustik.</w:t>
      </w:r>
    </w:p>
    <w:p w14:paraId="45108A74"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b/>
          <w:bCs/>
        </w:rPr>
        <w:t>Sidusus:</w:t>
      </w:r>
      <w:r>
        <w:rPr>
          <w:rFonts w:ascii="Times New Roman" w:eastAsia="Times New Roman" w:hAnsi="Times New Roman" w:cs="Times New Roman"/>
        </w:rPr>
        <w:t xml:space="preserve"> Saaremaa kalanduspiirkonna strateegia eesmärgid toetavad sadamavõrgustiku ja merendus- kalandusturismi arendamist (tegevussuunad 2, 3, 5).</w:t>
      </w:r>
    </w:p>
    <w:p w14:paraId="269C5B22" w14:textId="77777777" w:rsidR="008312AA" w:rsidRDefault="008312AA">
      <w:pPr>
        <w:spacing w:before="240" w:after="240" w:line="276" w:lineRule="auto"/>
        <w:rPr>
          <w:rFonts w:ascii="Times New Roman" w:eastAsia="Times New Roman" w:hAnsi="Times New Roman" w:cs="Times New Roman"/>
        </w:rPr>
      </w:pPr>
    </w:p>
    <w:p w14:paraId="5760FCC5" w14:textId="77777777" w:rsidR="008312AA" w:rsidRDefault="008312AA">
      <w:pPr>
        <w:spacing w:line="276" w:lineRule="auto"/>
        <w:rPr>
          <w:rFonts w:ascii="Times New Roman" w:eastAsia="Times New Roman" w:hAnsi="Times New Roman" w:cs="Times New Roman"/>
        </w:rPr>
      </w:pPr>
    </w:p>
    <w:p w14:paraId="3ECDEE1A" w14:textId="77777777" w:rsidR="008312AA" w:rsidRDefault="008312AA">
      <w:pPr>
        <w:spacing w:line="276" w:lineRule="auto"/>
        <w:rPr>
          <w:rFonts w:ascii="Times New Roman" w:eastAsia="Times New Roman" w:hAnsi="Times New Roman" w:cs="Times New Roman"/>
        </w:rPr>
      </w:pPr>
    </w:p>
    <w:p w14:paraId="7D3441CB" w14:textId="77777777" w:rsidR="008312AA" w:rsidRDefault="00000000">
      <w:pPr>
        <w:spacing w:after="0" w:line="276" w:lineRule="auto"/>
        <w:rPr>
          <w:rFonts w:ascii="Times New Roman" w:eastAsia="Times New Roman" w:hAnsi="Times New Roman" w:cs="Times New Roman"/>
        </w:rPr>
      </w:pPr>
      <w:r>
        <w:br w:type="page"/>
      </w:r>
    </w:p>
    <w:p w14:paraId="58CD0D98" w14:textId="77777777" w:rsidR="008312AA" w:rsidRDefault="00000000" w:rsidP="00541032">
      <w:pPr>
        <w:pStyle w:val="Pealkiri1"/>
        <w:spacing w:before="0"/>
        <w:ind w:left="0" w:firstLine="142"/>
        <w:jc w:val="left"/>
        <w:rPr>
          <w:rFonts w:ascii="Times New Roman" w:hAnsi="Times New Roman" w:cs="Times New Roman"/>
        </w:rPr>
      </w:pPr>
      <w:bookmarkStart w:id="77" w:name="_Toc157420971"/>
      <w:r>
        <w:rPr>
          <w:rFonts w:ascii="Times New Roman" w:hAnsi="Times New Roman" w:cs="Times New Roman"/>
        </w:rPr>
        <w:lastRenderedPageBreak/>
        <w:t>5. Strateegia koostamise ja kogukonna kaasamise protsess</w:t>
      </w:r>
      <w:bookmarkEnd w:id="77"/>
    </w:p>
    <w:p w14:paraId="4D8F5C01" w14:textId="77777777" w:rsidR="008312AA" w:rsidRDefault="008312AA">
      <w:pPr>
        <w:spacing w:line="276" w:lineRule="auto"/>
        <w:rPr>
          <w:rFonts w:ascii="Times New Roman" w:hAnsi="Times New Roman" w:cs="Times New Roman"/>
        </w:rPr>
      </w:pPr>
    </w:p>
    <w:p w14:paraId="0FC97FC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Käesolev kalanduspiirkonna kohaliku arengu strateegia on kalanduspiirkonna kolmas strateegia. MTÜ Saarte Kalandus esimese strateegia, aastateks 2009-2013, koostamine sai alguse MTÜ Saarte Kalandus loomisega 19.12.2007. a, mil sõlmiti ühingu asutamisleping.</w:t>
      </w:r>
    </w:p>
    <w:p w14:paraId="403716C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31.12.2023. a lõpeb „Euroopa Merendus- ja Kalandusfondi rakenduskava 2014–2020” meetmete „Kalanduspiirkonna juhitud kohaliku arengu strateegia rakendamine“ ning „Algatusrühma koostöötegevused“ eelarveperiood.</w:t>
      </w:r>
    </w:p>
    <w:p w14:paraId="1C72DB2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Uue strateegia koostamise ajendiks on olnud „Euroopa Merendus-, Kalandus- ja Vesiviljelusfondi rakenduskava 2021–2027“ ja meede „Perioodi 2021–2027 kogukonna juhitud kohaliku arengu toetus.“</w:t>
      </w:r>
    </w:p>
    <w:p w14:paraId="7D4EBD8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kaasamise ja koostamise protsessiga alustati 2021. a mai kuus, mil toimus esimene avalik kaasamiskoosolek. Strateegia koostamise protsessi saab jagada neljaks etapiks:</w:t>
      </w:r>
    </w:p>
    <w:p w14:paraId="50CA2475" w14:textId="77777777" w:rsidR="008312AA" w:rsidRDefault="008312AA">
      <w:pPr>
        <w:spacing w:line="276" w:lineRule="auto"/>
        <w:rPr>
          <w:rFonts w:ascii="Times New Roman" w:eastAsia="Times New Roman" w:hAnsi="Times New Roman" w:cs="Times New Roman"/>
          <w:b/>
          <w:bCs/>
        </w:rPr>
      </w:pPr>
    </w:p>
    <w:tbl>
      <w:tblPr>
        <w:tblStyle w:val="Kontuurtabel"/>
        <w:tblW w:w="9062" w:type="dxa"/>
        <w:tblLayout w:type="fixed"/>
        <w:tblLook w:val="04A0" w:firstRow="1" w:lastRow="0" w:firstColumn="1" w:lastColumn="0" w:noHBand="0" w:noVBand="1"/>
      </w:tblPr>
      <w:tblGrid>
        <w:gridCol w:w="9062"/>
      </w:tblGrid>
      <w:tr w:rsidR="008312AA" w14:paraId="0194C1A4" w14:textId="77777777">
        <w:tc>
          <w:tcPr>
            <w:tcW w:w="9062" w:type="dxa"/>
            <w:shd w:val="clear" w:color="auto" w:fill="C2F2F8"/>
          </w:tcPr>
          <w:p w14:paraId="75E587B9"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I Ettevalmistav periood (</w:t>
            </w:r>
            <w:r>
              <w:rPr>
                <w:rFonts w:ascii="Times New Roman" w:hAnsi="Times New Roman" w:cs="Times New Roman"/>
                <w:b/>
                <w:bCs/>
              </w:rPr>
              <w:t>strateegia koostamise koolitustel osalemine</w:t>
            </w:r>
            <w:r>
              <w:rPr>
                <w:rFonts w:ascii="Times New Roman" w:hAnsi="Times New Roman" w:cs="Times New Roman"/>
              </w:rPr>
              <w:t xml:space="preserve">, </w:t>
            </w:r>
            <w:r>
              <w:rPr>
                <w:rFonts w:ascii="Times New Roman" w:hAnsi="Times New Roman" w:cs="Times New Roman"/>
                <w:b/>
                <w:bCs/>
              </w:rPr>
              <w:t>alus</w:t>
            </w:r>
            <w:r>
              <w:rPr>
                <w:rFonts w:ascii="Times New Roman" w:eastAsia="Times New Roman" w:hAnsi="Times New Roman" w:cs="Times New Roman"/>
                <w:b/>
                <w:bCs/>
              </w:rPr>
              <w:t>andmete ja sisendite kogumine).</w:t>
            </w:r>
          </w:p>
        </w:tc>
      </w:tr>
    </w:tbl>
    <w:p w14:paraId="42D566C0" w14:textId="77777777" w:rsidR="008312AA" w:rsidRDefault="008312AA">
      <w:pPr>
        <w:spacing w:line="276" w:lineRule="auto"/>
        <w:rPr>
          <w:rFonts w:ascii="Times New Roman" w:eastAsia="Times New Roman" w:hAnsi="Times New Roman" w:cs="Times New Roman"/>
          <w:b/>
          <w:bCs/>
        </w:rPr>
      </w:pPr>
    </w:p>
    <w:tbl>
      <w:tblPr>
        <w:tblStyle w:val="Kontuurtabel"/>
        <w:tblW w:w="9062" w:type="dxa"/>
        <w:tblLayout w:type="fixed"/>
        <w:tblLook w:val="04A0" w:firstRow="1" w:lastRow="0" w:firstColumn="1" w:lastColumn="0" w:noHBand="0" w:noVBand="1"/>
      </w:tblPr>
      <w:tblGrid>
        <w:gridCol w:w="9062"/>
      </w:tblGrid>
      <w:tr w:rsidR="008312AA" w14:paraId="48976165" w14:textId="77777777">
        <w:tc>
          <w:tcPr>
            <w:tcW w:w="9062" w:type="dxa"/>
            <w:shd w:val="clear" w:color="auto" w:fill="C2F2F8"/>
          </w:tcPr>
          <w:p w14:paraId="0FD3BA1B"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II Alusandmete, saadud sisendite ja hetkeolukorra analüüs, strateegia peatükkide struktuuri loomine ja strateegia peatükkide kirjutamine.</w:t>
            </w:r>
          </w:p>
        </w:tc>
      </w:tr>
    </w:tbl>
    <w:p w14:paraId="72803362" w14:textId="77777777" w:rsidR="008312AA" w:rsidRDefault="008312AA">
      <w:pPr>
        <w:spacing w:line="276" w:lineRule="auto"/>
        <w:rPr>
          <w:rFonts w:ascii="Times New Roman" w:eastAsia="Times New Roman" w:hAnsi="Times New Roman" w:cs="Times New Roman"/>
          <w:b/>
          <w:bCs/>
        </w:rPr>
      </w:pPr>
    </w:p>
    <w:tbl>
      <w:tblPr>
        <w:tblStyle w:val="Kontuurtabel"/>
        <w:tblW w:w="9062" w:type="dxa"/>
        <w:tblLayout w:type="fixed"/>
        <w:tblLook w:val="04A0" w:firstRow="1" w:lastRow="0" w:firstColumn="1" w:lastColumn="0" w:noHBand="0" w:noVBand="1"/>
      </w:tblPr>
      <w:tblGrid>
        <w:gridCol w:w="9062"/>
      </w:tblGrid>
      <w:tr w:rsidR="008312AA" w14:paraId="28E5359F" w14:textId="77777777">
        <w:tc>
          <w:tcPr>
            <w:tcW w:w="9062" w:type="dxa"/>
            <w:shd w:val="clear" w:color="auto" w:fill="C2F2F8"/>
          </w:tcPr>
          <w:p w14:paraId="3B4032AF"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III Strateegia tööversioonide tutvustamine avalikel kaasamiskoosolekutel, huvigruppide täiendusettepanekute ja sisendit saamine.</w:t>
            </w:r>
          </w:p>
        </w:tc>
      </w:tr>
    </w:tbl>
    <w:p w14:paraId="7C46EAA0" w14:textId="77777777" w:rsidR="008312AA" w:rsidRDefault="008312AA">
      <w:pPr>
        <w:spacing w:line="276" w:lineRule="auto"/>
        <w:rPr>
          <w:rFonts w:ascii="Times New Roman" w:eastAsia="Times New Roman" w:hAnsi="Times New Roman" w:cs="Times New Roman"/>
          <w:b/>
          <w:bCs/>
        </w:rPr>
      </w:pPr>
    </w:p>
    <w:tbl>
      <w:tblPr>
        <w:tblStyle w:val="Kontuurtabel"/>
        <w:tblW w:w="9062" w:type="dxa"/>
        <w:tblLayout w:type="fixed"/>
        <w:tblLook w:val="04A0" w:firstRow="1" w:lastRow="0" w:firstColumn="1" w:lastColumn="0" w:noHBand="0" w:noVBand="1"/>
      </w:tblPr>
      <w:tblGrid>
        <w:gridCol w:w="9062"/>
      </w:tblGrid>
      <w:tr w:rsidR="008312AA" w14:paraId="79FFA9A8" w14:textId="77777777">
        <w:tc>
          <w:tcPr>
            <w:tcW w:w="9062" w:type="dxa"/>
            <w:shd w:val="clear" w:color="auto" w:fill="C2F2F8"/>
          </w:tcPr>
          <w:p w14:paraId="47A40279" w14:textId="77777777" w:rsidR="008312AA" w:rsidRDefault="00000000">
            <w:pPr>
              <w:spacing w:line="276" w:lineRule="auto"/>
              <w:rPr>
                <w:rFonts w:ascii="Times New Roman" w:eastAsia="Times New Roman" w:hAnsi="Times New Roman" w:cs="Times New Roman"/>
                <w:b/>
                <w:bCs/>
              </w:rPr>
            </w:pPr>
            <w:r>
              <w:rPr>
                <w:rFonts w:ascii="Times New Roman" w:eastAsia="Times New Roman" w:hAnsi="Times New Roman" w:cs="Times New Roman"/>
                <w:b/>
                <w:bCs/>
              </w:rPr>
              <w:t>IV</w:t>
            </w:r>
            <w:r>
              <w:rPr>
                <w:rFonts w:ascii="Times New Roman" w:eastAsia="Times New Roman" w:hAnsi="Times New Roman" w:cs="Times New Roman"/>
              </w:rPr>
              <w:t xml:space="preserve"> S</w:t>
            </w:r>
            <w:r>
              <w:rPr>
                <w:rFonts w:ascii="Times New Roman" w:eastAsia="Times New Roman" w:hAnsi="Times New Roman" w:cs="Times New Roman"/>
                <w:b/>
                <w:bCs/>
              </w:rPr>
              <w:t xml:space="preserve">trateegia tööversiooni redigeerimine, strateegia lisade ja töökordade koostamine, strateegia lõppversiooni väljapanek ühingu kodulehele ja selle kinnitamine üldkoosolekul. Strateegia esitamine </w:t>
            </w:r>
            <w:proofErr w:type="spellStart"/>
            <w:r>
              <w:rPr>
                <w:rFonts w:ascii="Times New Roman" w:eastAsia="Times New Roman" w:hAnsi="Times New Roman" w:cs="Times New Roman"/>
                <w:b/>
                <w:bCs/>
              </w:rPr>
              <w:t>PRIAsse</w:t>
            </w:r>
            <w:proofErr w:type="spellEnd"/>
            <w:r>
              <w:rPr>
                <w:rFonts w:ascii="Times New Roman" w:eastAsia="Times New Roman" w:hAnsi="Times New Roman" w:cs="Times New Roman"/>
                <w:b/>
                <w:bCs/>
              </w:rPr>
              <w:t>.</w:t>
            </w:r>
          </w:p>
        </w:tc>
      </w:tr>
    </w:tbl>
    <w:p w14:paraId="601C79BB" w14:textId="77777777" w:rsidR="008312AA" w:rsidRDefault="008312AA">
      <w:pPr>
        <w:spacing w:line="276" w:lineRule="auto"/>
        <w:rPr>
          <w:rFonts w:ascii="Times New Roman" w:eastAsia="Times New Roman" w:hAnsi="Times New Roman" w:cs="Times New Roman"/>
          <w:b/>
          <w:bCs/>
        </w:rPr>
      </w:pPr>
    </w:p>
    <w:p w14:paraId="3F76E3C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Täpse ülevaate kaasamisprotsessist annab strateegia lisa nr 1 „MTÜ Saarte Kalandus strateegia koostamise tegevuskava.“</w:t>
      </w:r>
    </w:p>
    <w:p w14:paraId="4F0C67BC" w14:textId="781765B9" w:rsidR="008312AA" w:rsidRDefault="00000000">
      <w:pPr>
        <w:spacing w:line="276" w:lineRule="auto"/>
        <w:rPr>
          <w:rFonts w:ascii="Times New Roman" w:hAnsi="Times New Roman" w:cs="Times New Roman"/>
          <w:b/>
          <w:bCs/>
        </w:rPr>
      </w:pPr>
      <w:r>
        <w:rPr>
          <w:rFonts w:ascii="Times New Roman" w:eastAsia="Times New Roman" w:hAnsi="Times New Roman" w:cs="Times New Roman"/>
        </w:rPr>
        <w:t xml:space="preserve">Strateegia koostamisel peeti oluliseks kogukonna kaasamist ja strateegia koostamise protsessi läbipaistvust, seepärast on strateegia tööversioonid ühingu kodulehel olnud avalikul väljapanekul täiendusettepanekute ning sisendite esitamiseks. Avalikkust ja sihtrühmi teavitati arengustrateegia avalike kaasamiskoolituste toimumisest kohaliku ajalehe, liikmelisti ja ühingu kodulehe vahendusel. Kokku osales erinevatel kaasamiskoosolekutel 123 inimest, neist </w:t>
      </w:r>
      <w:r>
        <w:rPr>
          <w:rFonts w:ascii="Times New Roman" w:eastAsia="Times New Roman" w:hAnsi="Times New Roman" w:cs="Times New Roman"/>
        </w:rPr>
        <w:lastRenderedPageBreak/>
        <w:t xml:space="preserve">kalandussektori esindajaid </w:t>
      </w:r>
      <w:r w:rsidR="007002F6" w:rsidRPr="007002F6">
        <w:rPr>
          <w:rFonts w:ascii="Times New Roman" w:eastAsia="Times New Roman" w:hAnsi="Times New Roman" w:cs="Times New Roman"/>
        </w:rPr>
        <w:t>57 ehk 46 %</w:t>
      </w:r>
      <w:r w:rsidRPr="007002F6">
        <w:rPr>
          <w:rFonts w:ascii="Times New Roman" w:eastAsia="Times New Roman" w:hAnsi="Times New Roman" w:cs="Times New Roman"/>
        </w:rPr>
        <w:t xml:space="preserve"> </w:t>
      </w:r>
      <w:r>
        <w:rPr>
          <w:rFonts w:ascii="Times New Roman" w:eastAsia="Times New Roman" w:hAnsi="Times New Roman" w:cs="Times New Roman"/>
        </w:rPr>
        <w:t>(täpsemalt strateegia lisa nr 2 „</w:t>
      </w:r>
      <w:r>
        <w:rPr>
          <w:rFonts w:ascii="Times New Roman" w:hAnsi="Times New Roman" w:cs="Times New Roman"/>
        </w:rPr>
        <w:t>Strateegia koostamises osalenud organisatsioonid</w:t>
      </w:r>
      <w:r w:rsidR="007002F6">
        <w:rPr>
          <w:rFonts w:ascii="Times New Roman" w:hAnsi="Times New Roman" w:cs="Times New Roman"/>
        </w:rPr>
        <w:t>.</w:t>
      </w:r>
      <w:r>
        <w:rPr>
          <w:rFonts w:ascii="Times New Roman" w:hAnsi="Times New Roman" w:cs="Times New Roman"/>
        </w:rPr>
        <w:t>“</w:t>
      </w:r>
      <w:r>
        <w:rPr>
          <w:rStyle w:val="Allmrkuseviide"/>
          <w:rFonts w:ascii="Times New Roman" w:hAnsi="Times New Roman" w:cs="Times New Roman"/>
        </w:rPr>
        <w:footnoteReference w:id="65"/>
      </w:r>
    </w:p>
    <w:p w14:paraId="29F48478" w14:textId="77777777" w:rsidR="008312AA" w:rsidRPr="00541032" w:rsidRDefault="00000000" w:rsidP="00541032">
      <w:pPr>
        <w:pStyle w:val="Pealkiri1"/>
        <w:ind w:left="0" w:firstLine="0"/>
        <w:jc w:val="left"/>
        <w:rPr>
          <w:rFonts w:ascii="Times New Roman" w:hAnsi="Times New Roman" w:cs="Times New Roman"/>
        </w:rPr>
      </w:pPr>
      <w:bookmarkStart w:id="78" w:name="_Toc157420972"/>
      <w:r w:rsidRPr="00541032">
        <w:rPr>
          <w:rFonts w:ascii="Times New Roman" w:hAnsi="Times New Roman" w:cs="Times New Roman"/>
        </w:rPr>
        <w:t>6. Strateegia elluviimist toetavad tegevused</w:t>
      </w:r>
      <w:bookmarkEnd w:id="78"/>
    </w:p>
    <w:p w14:paraId="248ABC06" w14:textId="77777777" w:rsidR="008312AA" w:rsidRDefault="008312AA">
      <w:pPr>
        <w:spacing w:line="276" w:lineRule="auto"/>
        <w:rPr>
          <w:rFonts w:ascii="Times New Roman" w:eastAsia="Times New Roman" w:hAnsi="Times New Roman" w:cs="Times New Roman"/>
        </w:rPr>
      </w:pPr>
    </w:p>
    <w:p w14:paraId="795BF024" w14:textId="3F2B35B2" w:rsidR="008312AA" w:rsidRDefault="00000000">
      <w:pPr>
        <w:spacing w:line="276" w:lineRule="auto"/>
        <w:rPr>
          <w:rFonts w:ascii="Times New Roman" w:eastAsia="Times New Roman" w:hAnsi="Times New Roman" w:cs="Times New Roman"/>
          <w:color w:val="FF0000"/>
        </w:rPr>
      </w:pPr>
      <w:r>
        <w:rPr>
          <w:rFonts w:ascii="Times New Roman" w:eastAsia="Times New Roman" w:hAnsi="Times New Roman" w:cs="Times New Roman"/>
        </w:rPr>
        <w:t xml:space="preserve">Selle peatüki all kirjeldatakse MTÜ Saarte Kalandust kui organisatsiooni, tema otsustus- ja juhtorganeid, üldist töökorraldust ja kalandusvaldkonna ning strateegiate elluviimise kogemusi. Samuti antakse lühiülevaade taotlusvoorude korraldamisest ja projektide hindamisega seotud toimingutest (täpsemalt kajastab projektide hindamisega seotud tegevusi </w:t>
      </w:r>
      <w:r>
        <w:rPr>
          <w:rFonts w:ascii="Times New Roman" w:eastAsia="Times New Roman" w:hAnsi="Times New Roman" w:cs="Times New Roman"/>
          <w:color w:val="FF0000"/>
        </w:rPr>
        <w:t>„MTÜ Saarte Kalandus projektitoetuse taotluste menetlemise ja hindamise kord.“</w:t>
      </w:r>
      <w:r w:rsidR="005D1620">
        <w:rPr>
          <w:rFonts w:ascii="Times New Roman" w:eastAsia="Times New Roman" w:hAnsi="Times New Roman" w:cs="Times New Roman"/>
          <w:color w:val="FF0000"/>
        </w:rPr>
        <w:t xml:space="preserve"> Lisada </w:t>
      </w:r>
      <w:r>
        <w:rPr>
          <w:rFonts w:ascii="Times New Roman" w:eastAsia="Times New Roman" w:hAnsi="Times New Roman" w:cs="Times New Roman"/>
          <w:color w:val="FF0000"/>
        </w:rPr>
        <w:t>viide.</w:t>
      </w:r>
    </w:p>
    <w:p w14:paraId="57189D9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Samuti antakse peatüki all ülevaade Euroopa Merendus- ja Kalandusfondi 2014-2020 (EMKF) meetmete 3.3. “Kalanduspiirkonna kohaliku arengu strateegia rakendamine”, 3.2. “Algatusrühma toetus” ja 3.4. “Algatusrühma koostöötegevused” rakendamise tulemustest.</w:t>
      </w:r>
    </w:p>
    <w:p w14:paraId="6662CE9F" w14:textId="77777777" w:rsidR="008312AA" w:rsidRDefault="008312AA">
      <w:pPr>
        <w:spacing w:line="276" w:lineRule="auto"/>
        <w:rPr>
          <w:rFonts w:ascii="Times New Roman" w:eastAsia="Times New Roman" w:hAnsi="Times New Roman" w:cs="Times New Roman"/>
        </w:rPr>
      </w:pPr>
    </w:p>
    <w:p w14:paraId="779D9402"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79" w:name="_Toc157420973"/>
      <w:r>
        <w:rPr>
          <w:rFonts w:ascii="Times New Roman" w:eastAsia="Times New Roman" w:hAnsi="Times New Roman" w:cs="Times New Roman"/>
          <w:color w:val="7030A0"/>
          <w:sz w:val="28"/>
          <w:szCs w:val="28"/>
        </w:rPr>
        <w:t>6.1. Tegevusgrupi  töökorraldus</w:t>
      </w:r>
      <w:bookmarkEnd w:id="79"/>
    </w:p>
    <w:p w14:paraId="7344004B" w14:textId="77777777" w:rsidR="008312AA" w:rsidRDefault="008312AA">
      <w:pPr>
        <w:spacing w:line="276" w:lineRule="auto"/>
        <w:rPr>
          <w:rFonts w:ascii="Times New Roman" w:eastAsia="Times New Roman" w:hAnsi="Times New Roman" w:cs="Times New Roman"/>
        </w:rPr>
      </w:pPr>
    </w:p>
    <w:p w14:paraId="12CC28E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Saarte Kalandus tegutsemise aluseks on MTÜ põhikiri, mille alusel organisatsiooni eesmärgiks on oma liikmete koostööle, partnerlusele ja omaalgatusele tuginedes kalanduspiirkonna </w:t>
      </w:r>
      <w:proofErr w:type="spellStart"/>
      <w:r>
        <w:rPr>
          <w:rFonts w:ascii="Times New Roman" w:eastAsia="Times New Roman" w:hAnsi="Times New Roman" w:cs="Times New Roman"/>
        </w:rPr>
        <w:t>jätkusuutlik</w:t>
      </w:r>
      <w:proofErr w:type="spellEnd"/>
      <w:r>
        <w:rPr>
          <w:rFonts w:ascii="Times New Roman" w:eastAsia="Times New Roman" w:hAnsi="Times New Roman" w:cs="Times New Roman"/>
        </w:rPr>
        <w:t xml:space="preserve"> arendamine, kalanduse ja sellega seotud tegevusalade arendamise ning rannakülade elujõu kindlustamise strateegia väljatöötamise ja elluviimise kaudu. MTÜ teavitab sihtrühma EMK(V)F meetmete toetuse saamise võimalustest ja nõustab toetuse taotlejaid. Ühingu tegevuse aluseks lisaks põhikirjale on käesolev piirkonna arengustrateegia ja Eesti Vabariigi seadusandlus. </w:t>
      </w:r>
    </w:p>
    <w:p w14:paraId="3D4A99F6" w14:textId="20CF27C0"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Saarte Kalandus on loodud 2008. a ja omab seega 15 aasta pikkust kogemust Saare maakonna kalandusvaldkonna arendamisel ja strateegiate elluviimisel. MTÜ liikmeteks on seisuga </w:t>
      </w:r>
      <w:r>
        <w:rPr>
          <w:rFonts w:ascii="Times New Roman" w:eastAsia="Times New Roman" w:hAnsi="Times New Roman" w:cs="Times New Roman"/>
          <w:color w:val="ED0000"/>
        </w:rPr>
        <w:t>1</w:t>
      </w:r>
      <w:r w:rsidR="007002F6">
        <w:rPr>
          <w:rFonts w:ascii="Times New Roman" w:eastAsia="Times New Roman" w:hAnsi="Times New Roman" w:cs="Times New Roman"/>
          <w:color w:val="ED0000"/>
        </w:rPr>
        <w:t>6</w:t>
      </w:r>
      <w:r>
        <w:rPr>
          <w:rFonts w:ascii="Times New Roman" w:eastAsia="Times New Roman" w:hAnsi="Times New Roman" w:cs="Times New Roman"/>
          <w:color w:val="ED0000"/>
        </w:rPr>
        <w:t xml:space="preserve">. 02. 2024. a </w:t>
      </w:r>
      <w:r>
        <w:rPr>
          <w:rFonts w:ascii="Times New Roman" w:eastAsia="Times New Roman" w:hAnsi="Times New Roman" w:cs="Times New Roman"/>
          <w:color w:val="FF0000"/>
        </w:rPr>
        <w:t xml:space="preserve">152 </w:t>
      </w:r>
      <w:r>
        <w:rPr>
          <w:rFonts w:ascii="Times New Roman" w:eastAsia="Times New Roman" w:hAnsi="Times New Roman" w:cs="Times New Roman"/>
        </w:rPr>
        <w:t>erinevat maakonna kalandussektori ning kalandussektori välist ettevõtjat, füüsilisest isikust ettevõtjat, füüsilist isikut, kohalikku omavalitsust ning MTÜ-d. Tagamaks seda, et ükski huvigrupp ei kontrolliks juht - ja otsustusorganite otsustusprotsesse, ei tohi ükski huvigrupp omada üle 49% häälteenamust.</w:t>
      </w:r>
    </w:p>
    <w:p w14:paraId="72013CF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kõrgeimaks otsustusorganiks on üldkoosolek, kus igal liikmel on üks (1) hääl (koos volikirjadega kokku mitte rohkem kui viis (5) häält).   Üldkoosoleku pädevused on täpsemalt kajastatud ühingu põhikirjas.</w:t>
      </w:r>
    </w:p>
    <w:p w14:paraId="348DD92E"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Saaremaa kalanduspiirkonna arendamise strateegia aastani 2027+ muudatusettepanekute kinnitamise õigus on ainult üldkoosolekul.</w:t>
      </w:r>
    </w:p>
    <w:p w14:paraId="40D18BC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juhtorganiks (oma pädevuse piires ka otsustusorganiks) on juhatus, kes valitakse üldkoosolekul salajasel hääletusel tähtajaga viieks (5) aastaks. Juhatus on viie kuni seitsmeliikmeline. (Täpsem teave juhatuse valimise ja tegevuse kohta on leitav Juhatuse </w:t>
      </w:r>
      <w:r>
        <w:rPr>
          <w:rFonts w:ascii="Times New Roman" w:eastAsia="Times New Roman" w:hAnsi="Times New Roman" w:cs="Times New Roman"/>
        </w:rPr>
        <w:lastRenderedPageBreak/>
        <w:t>valimise reglemendist ja Juhatuse töökorrast). Juhatuse pädevused täpsemalt on kajastatud ühingu põhikirjas.</w:t>
      </w:r>
    </w:p>
    <w:p w14:paraId="41EB675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Projektitoetuse taotluste osas hindamistoimingute läbiviimiseks valitakse üldkoosolekul salajasel hääletusel hindamiskomisjon tähtajaga viieks (5) aastaks. Hindamiskomisjon koosneb üheksast (9) põhiliikmest ja kolmest (3) asendusliikmest, viimati nimetatud osalevad hindamisel vastavalt vajadusele kui põhiliikmed ei saa hindamisest osa võtta..</w:t>
      </w:r>
    </w:p>
    <w:p w14:paraId="7EE87AF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igapäevast tööd korraldab tegevmeeskond, kuhu kuulub kaks (2) inimest, tegevjuht ja referent (nende töökohustused on täpsemalt kirjeldatud ühingu põhikirjas ja ametijuhendites).</w:t>
      </w:r>
    </w:p>
    <w:p w14:paraId="37C1B04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Ühingu tegevmeeskonna peamised tööülesanded on seotud taotlejate nõustamise ja erinevate arengustrateegia rakendamist toetavate koolituste korraldamisega, taotlusvoorude korraldamisega jm sellega seonduvaga, erinevate koostööprojektide elluviimisega, ühistegevuse edendamisega piirkonnas jms. Samuti osaletakse oma pädevuse piires valdkonda mõjutavate õigusaktide koostamisel ja muudatusettepanekute tegemisel ning nõustatakse piirkonna kalureid ja kalandusettevõtjaid valdkonda mõjutava seadusandluse tõlgendamise osas.</w:t>
      </w:r>
    </w:p>
    <w:p w14:paraId="1C94017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Ühingu eesmärgipärase ja finantstegevuse revideerimiseks ning vastuvõetud otsuste õiguspärasuse kontrollimiseks kinnitab  üldkoosolek juhatuse poolt võrdlevate hinnapakkumiste alusel valitud revidendi või audiitori. Hinnapakkumiste võtmisel lähtutakse riigihangete seaduse ja ühingu hankekorra nõuetest.</w:t>
      </w:r>
    </w:p>
    <w:p w14:paraId="7507EC4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Raamatupidamisteenus ostetakse sisse lähtudes teenusepakkuja valikul riigihangete seaduse ja ühingu hankekorra nõuetest.</w:t>
      </w:r>
    </w:p>
    <w:p w14:paraId="4BFFF0F3" w14:textId="77777777" w:rsidR="008312AA"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Täiendavalt ostetakse vastavalt vajadusele sisse spetsiifilisi teenuseid (nt infotehnoloogilised lahendused, juriidiline nõustamine, ekspertiishinnangud jm).</w:t>
      </w:r>
    </w:p>
    <w:p w14:paraId="34CB8B0C"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töökorraldusest annab ülevaate alljärgnev organisatsiooni skeem:</w:t>
      </w:r>
    </w:p>
    <w:p w14:paraId="7FA20CFE" w14:textId="77777777" w:rsidR="008312AA" w:rsidRDefault="008312AA">
      <w:pPr>
        <w:spacing w:line="276" w:lineRule="auto"/>
        <w:rPr>
          <w:rFonts w:ascii="Times New Roman" w:eastAsia="Times New Roman" w:hAnsi="Times New Roman" w:cs="Times New Roman"/>
        </w:rPr>
      </w:pPr>
    </w:p>
    <w:p w14:paraId="06D970FA" w14:textId="77777777" w:rsidR="008312AA" w:rsidRDefault="00000000">
      <w:pPr>
        <w:spacing w:line="276" w:lineRule="auto"/>
        <w:rPr>
          <w:rFonts w:ascii="Times New Roman" w:eastAsia="Times New Roman" w:hAnsi="Times New Roman" w:cs="Times New Roman"/>
        </w:rPr>
      </w:pPr>
      <w:r>
        <w:rPr>
          <w:noProof/>
        </w:rPr>
        <w:lastRenderedPageBreak/>
        <w:drawing>
          <wp:inline distT="0" distB="0" distL="0" distR="0" wp14:anchorId="74502059" wp14:editId="40F5E47A">
            <wp:extent cx="5745480" cy="332740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pic:cNvPicPr>
                      <a:picLocks noChangeAspect="1" noChangeArrowheads="1"/>
                    </pic:cNvPicPr>
                  </pic:nvPicPr>
                  <pic:blipFill>
                    <a:blip r:embed="rId49"/>
                    <a:stretch>
                      <a:fillRect/>
                    </a:stretch>
                  </pic:blipFill>
                  <pic:spPr bwMode="auto">
                    <a:xfrm>
                      <a:off x="0" y="0"/>
                      <a:ext cx="5745480" cy="3327400"/>
                    </a:xfrm>
                    <a:prstGeom prst="rect">
                      <a:avLst/>
                    </a:prstGeom>
                  </pic:spPr>
                </pic:pic>
              </a:graphicData>
            </a:graphic>
          </wp:inline>
        </w:drawing>
      </w:r>
    </w:p>
    <w:p w14:paraId="5ECFCE4E" w14:textId="77777777" w:rsidR="008312AA" w:rsidRDefault="008312AA">
      <w:pPr>
        <w:spacing w:before="120" w:line="276" w:lineRule="auto"/>
        <w:rPr>
          <w:rFonts w:ascii="Times New Roman" w:eastAsia="Times New Roman" w:hAnsi="Times New Roman" w:cs="Times New Roman"/>
          <w:i/>
        </w:rPr>
      </w:pPr>
    </w:p>
    <w:p w14:paraId="652A7BF9" w14:textId="77777777" w:rsidR="008312AA" w:rsidRDefault="00000000">
      <w:pPr>
        <w:spacing w:before="120" w:line="276" w:lineRule="auto"/>
        <w:rPr>
          <w:rFonts w:ascii="Times New Roman" w:eastAsia="Times New Roman" w:hAnsi="Times New Roman" w:cs="Times New Roman"/>
          <w:i/>
        </w:rPr>
      </w:pPr>
      <w:sdt>
        <w:sdtPr>
          <w:tag w:val="goog_rdk_3"/>
          <w:id w:val="-550540000"/>
        </w:sdtPr>
        <w:sdtContent/>
      </w:sdt>
      <w:r>
        <w:rPr>
          <w:rFonts w:ascii="Times New Roman" w:eastAsia="Times New Roman" w:hAnsi="Times New Roman" w:cs="Times New Roman"/>
          <w:i/>
        </w:rPr>
        <w:t>Joonis 15: MTÜ Saarte Kalandus töökorraldus seisuga 31. 12. 2023. a</w:t>
      </w:r>
    </w:p>
    <w:p w14:paraId="29E2E00B" w14:textId="77777777" w:rsidR="008312AA" w:rsidRDefault="008312AA">
      <w:pPr>
        <w:spacing w:line="276" w:lineRule="auto"/>
        <w:rPr>
          <w:rFonts w:ascii="Times New Roman" w:eastAsia="Times New Roman" w:hAnsi="Times New Roman" w:cs="Times New Roman"/>
        </w:rPr>
      </w:pPr>
    </w:p>
    <w:p w14:paraId="7FB9BEA3" w14:textId="77777777" w:rsidR="008312AA" w:rsidRPr="000D142E" w:rsidRDefault="00000000" w:rsidP="000D142E">
      <w:pPr>
        <w:pStyle w:val="Pealkiri2"/>
        <w:ind w:left="0" w:firstLine="0"/>
        <w:rPr>
          <w:rFonts w:ascii="Times New Roman" w:hAnsi="Times New Roman" w:cs="Times New Roman"/>
          <w:color w:val="7030A0"/>
          <w:sz w:val="28"/>
          <w:szCs w:val="28"/>
        </w:rPr>
      </w:pPr>
      <w:bookmarkStart w:id="80" w:name="_Toc157420974"/>
      <w:r w:rsidRPr="000D142E">
        <w:rPr>
          <w:rFonts w:ascii="Times New Roman" w:hAnsi="Times New Roman" w:cs="Times New Roman"/>
          <w:color w:val="7030A0"/>
          <w:sz w:val="28"/>
          <w:szCs w:val="28"/>
        </w:rPr>
        <w:t>6.2. Taotlejate võimekuse tõstmine</w:t>
      </w:r>
      <w:bookmarkEnd w:id="80"/>
    </w:p>
    <w:p w14:paraId="13D37FB5" w14:textId="77777777" w:rsidR="008312AA" w:rsidRDefault="008312AA">
      <w:pPr>
        <w:spacing w:line="276" w:lineRule="auto"/>
        <w:rPr>
          <w:rFonts w:ascii="Times New Roman" w:eastAsia="Times New Roman" w:hAnsi="Times New Roman" w:cs="Times New Roman"/>
        </w:rPr>
      </w:pPr>
    </w:p>
    <w:p w14:paraId="33D70C69"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MTÜ tegevmeeskonna üks põhiülesandeid </w:t>
      </w:r>
      <w:proofErr w:type="spellStart"/>
      <w:r>
        <w:rPr>
          <w:rFonts w:ascii="Times New Roman" w:eastAsia="Times New Roman" w:hAnsi="Times New Roman" w:cs="Times New Roman"/>
        </w:rPr>
        <w:t>m.h</w:t>
      </w:r>
      <w:proofErr w:type="spellEnd"/>
      <w:r>
        <w:rPr>
          <w:rFonts w:ascii="Times New Roman" w:eastAsia="Times New Roman" w:hAnsi="Times New Roman" w:cs="Times New Roman"/>
        </w:rPr>
        <w:t>. on taotlejate nõustamine projektitoetuse taotlemise võimaluste tutvustamise ja projektide kirjutamise võimekuse tõstmise osas.   Selleks korraldab büroo koostöös juhatusega erinevaid koolitusi ja teabepäevi, kuhu kutsutakse esinema erinevaid projektikirjutajaid ja lektoreid, et julgustada, õpetada ja suunata huvigruppe neile vajalike projektide koostamisel. Teabepäevi korraldatakse enne iga taotlusvooru väljakuulutamist. Lisaks infopäevadele ja koolitustele oma maakonnas korraldatakse (s.h. koostöös teiste kalanduspiirkondadega) ka väljasõite teistesse Eesti kalanduspiirkondadesse ja maakondadesse, et tutvustada „häid praktikaid” ja õnnestunud projekte üle Eesti. Võimaluste piires korraldatakse samal eesmärgil n-ö piiriüleseid koolitusreise. Liikmeskonna motiveerimiseks ning piirkonna edendamiseks annab häid ideid just erinevatel koolitusreisidel osalemine, kus nähakse uusi, sageli lihtsaid aga innovaatilisi ideid ettevõtluse arendamiseks. Seda selleks, et motiveerida liikmeskonda projekte kirjutama ning kohalikku elu edendama. Teavet selle kohta antakse ühingu liikmelisti, avaliku meedia, isiklike kontaktide ning ühingu kodulehekülje vahendusel. Vähem oluline ei ole ka vahetu isiklik taotlejate nõustamine büroos.</w:t>
      </w:r>
    </w:p>
    <w:p w14:paraId="1AC8AED2" w14:textId="1FE75C5F" w:rsidR="008312AA" w:rsidRDefault="006C117C" w:rsidP="006C117C">
      <w:pPr>
        <w:spacing w:after="0"/>
        <w:jc w:val="left"/>
        <w:rPr>
          <w:rFonts w:ascii="Times New Roman" w:eastAsia="Times New Roman" w:hAnsi="Times New Roman" w:cs="Times New Roman"/>
        </w:rPr>
      </w:pPr>
      <w:r>
        <w:rPr>
          <w:rFonts w:ascii="Times New Roman" w:eastAsia="Times New Roman" w:hAnsi="Times New Roman" w:cs="Times New Roman"/>
        </w:rPr>
        <w:br w:type="page"/>
      </w:r>
    </w:p>
    <w:p w14:paraId="1BD4DFD6" w14:textId="27A7F952" w:rsidR="008312AA" w:rsidRDefault="00000000" w:rsidP="00541032">
      <w:pPr>
        <w:pStyle w:val="Pealkiri2"/>
        <w:ind w:left="0" w:firstLine="0"/>
        <w:jc w:val="left"/>
        <w:rPr>
          <w:rFonts w:ascii="Times New Roman" w:hAnsi="Times New Roman" w:cs="Times New Roman"/>
          <w:color w:val="7030A0"/>
          <w:sz w:val="28"/>
          <w:szCs w:val="28"/>
        </w:rPr>
      </w:pPr>
      <w:bookmarkStart w:id="81" w:name="_Toc157420975"/>
      <w:r>
        <w:rPr>
          <w:rFonts w:ascii="Times New Roman" w:hAnsi="Times New Roman" w:cs="Times New Roman"/>
          <w:color w:val="7030A0"/>
          <w:sz w:val="28"/>
          <w:szCs w:val="28"/>
        </w:rPr>
        <w:lastRenderedPageBreak/>
        <w:t>6.3. Ülevaade eelmise perioodi strateegia tulemustest</w:t>
      </w:r>
      <w:bookmarkEnd w:id="81"/>
    </w:p>
    <w:p w14:paraId="509BDEC5" w14:textId="77777777" w:rsidR="008312AA" w:rsidRDefault="008312AA">
      <w:pPr>
        <w:spacing w:line="276" w:lineRule="auto"/>
        <w:rPr>
          <w:rFonts w:ascii="Times New Roman" w:hAnsi="Times New Roman" w:cs="Times New Roman"/>
        </w:rPr>
      </w:pPr>
    </w:p>
    <w:p w14:paraId="06BE171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Siin alapeatükis antakse ülevaade Euroopa Merendus- ja Kalandusfondi 2014-2020 (EMKF) meetmete 3.3. “Kalanduspiirkonna kohaliku arengu strateegia rakendamine”, 3.2. “Algatusrühma toetus” ja 3.4. “Algatusrühma koostöötegevused” rakendamise tulemusi.</w:t>
      </w:r>
    </w:p>
    <w:p w14:paraId="458899EF" w14:textId="77777777" w:rsidR="008312AA" w:rsidRDefault="008312AA">
      <w:pPr>
        <w:spacing w:line="276" w:lineRule="auto"/>
        <w:rPr>
          <w:rFonts w:ascii="Times New Roman" w:eastAsia="Times New Roman" w:hAnsi="Times New Roman" w:cs="Times New Roman"/>
        </w:rPr>
      </w:pPr>
    </w:p>
    <w:p w14:paraId="248631BB" w14:textId="77777777" w:rsidR="008312AA" w:rsidRPr="00E3093D" w:rsidRDefault="00000000" w:rsidP="00541032">
      <w:pPr>
        <w:pStyle w:val="Pealkiri3"/>
        <w:ind w:left="0" w:firstLine="0"/>
        <w:jc w:val="left"/>
        <w:rPr>
          <w:rFonts w:ascii="Times New Roman" w:hAnsi="Times New Roman" w:cs="Times New Roman"/>
          <w:color w:val="0E5C04"/>
        </w:rPr>
      </w:pPr>
      <w:bookmarkStart w:id="82" w:name="_Toc157420976"/>
      <w:r w:rsidRPr="00E3093D">
        <w:rPr>
          <w:rFonts w:ascii="Times New Roman" w:hAnsi="Times New Roman" w:cs="Times New Roman"/>
          <w:color w:val="0E5C04"/>
        </w:rPr>
        <w:t>6.3.1. Ülevaade taotlustest</w:t>
      </w:r>
      <w:bookmarkEnd w:id="82"/>
    </w:p>
    <w:p w14:paraId="52EA1BB0"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EMKF meetme 3.3. „Kalanduspiirkonna kohaliku arengu strateegia rakendamine“ eesmärgiks oli kalanduspiirkondade </w:t>
      </w:r>
      <w:proofErr w:type="spellStart"/>
      <w:r>
        <w:rPr>
          <w:rFonts w:ascii="Times New Roman" w:eastAsia="Times New Roman" w:hAnsi="Times New Roman" w:cs="Times New Roman"/>
          <w:highlight w:val="white"/>
        </w:rPr>
        <w:t>jätkusuutlik</w:t>
      </w:r>
      <w:proofErr w:type="spellEnd"/>
      <w:r>
        <w:rPr>
          <w:rFonts w:ascii="Times New Roman" w:eastAsia="Times New Roman" w:hAnsi="Times New Roman" w:cs="Times New Roman"/>
          <w:highlight w:val="white"/>
        </w:rPr>
        <w:t xml:space="preserve"> arendamine. Tulenevalt meetme määrusest olid MTÜ Saarte Kalanduse arengustrateegia selle perioodi eesmärkideks eelkõige:</w:t>
      </w:r>
    </w:p>
    <w:p w14:paraId="7A350434" w14:textId="77777777" w:rsidR="008312AA" w:rsidRDefault="00000000">
      <w:pPr>
        <w:pStyle w:val="Loendilik"/>
        <w:numPr>
          <w:ilvl w:val="0"/>
          <w:numId w:val="13"/>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jätkata sadamatevõrgu korrastamisega;</w:t>
      </w:r>
    </w:p>
    <w:p w14:paraId="5EEF33DA" w14:textId="77777777" w:rsidR="008312AA" w:rsidRDefault="00000000">
      <w:pPr>
        <w:pStyle w:val="Loendilik"/>
        <w:numPr>
          <w:ilvl w:val="0"/>
          <w:numId w:val="13"/>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edendada kalatoodete töötlemist ja turustamist suurema lisandväärtuse loomiseks;</w:t>
      </w:r>
    </w:p>
    <w:p w14:paraId="19A520DE" w14:textId="77777777" w:rsidR="008312AA" w:rsidRDefault="00000000">
      <w:pPr>
        <w:pStyle w:val="Loendilik"/>
        <w:numPr>
          <w:ilvl w:val="0"/>
          <w:numId w:val="13"/>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toetada kalurite tegevuse mitmekesistamist, s.h turismiteenuste välja töötamist;</w:t>
      </w:r>
    </w:p>
    <w:p w14:paraId="6EEAA2FC" w14:textId="77777777" w:rsidR="008312AA" w:rsidRDefault="00000000">
      <w:pPr>
        <w:pStyle w:val="Loendilik"/>
        <w:numPr>
          <w:ilvl w:val="0"/>
          <w:numId w:val="13"/>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toetada kalavarude taastamist;</w:t>
      </w:r>
    </w:p>
    <w:p w14:paraId="3A7BA28C" w14:textId="77777777" w:rsidR="008312AA" w:rsidRDefault="00000000">
      <w:pPr>
        <w:pStyle w:val="Loendilik"/>
        <w:numPr>
          <w:ilvl w:val="0"/>
          <w:numId w:val="13"/>
        </w:num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panustada kalurkonna sotsiaalse heaolu tõstmisesse, s.h toetada kooskäimiskohtade ja (uute) traditsioonide loomist.</w:t>
      </w:r>
    </w:p>
    <w:p w14:paraId="34179839"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EMKF meetme „Kalanduspiirkonna kohaliku arengu strateegia rakendamine“ toetuste andmist reguleeris maaeluministri 25.11.2015 määrus nr 19. Perioodil 2016 - 2022 sai toetust taotleda viiel tegevussuunal:</w:t>
      </w:r>
    </w:p>
    <w:p w14:paraId="08378180" w14:textId="77777777" w:rsidR="008312AA" w:rsidRDefault="00000000">
      <w:pPr>
        <w:pStyle w:val="Loendilik"/>
        <w:numPr>
          <w:ilvl w:val="0"/>
          <w:numId w:val="14"/>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kalapüügi- või vesiviljelustoodete </w:t>
      </w:r>
      <w:proofErr w:type="spellStart"/>
      <w:r>
        <w:rPr>
          <w:rFonts w:ascii="Times New Roman" w:eastAsia="Times New Roman" w:hAnsi="Times New Roman" w:cs="Times New Roman"/>
          <w:highlight w:val="white"/>
        </w:rPr>
        <w:t>väärindamine</w:t>
      </w:r>
      <w:proofErr w:type="spellEnd"/>
      <w:r>
        <w:rPr>
          <w:rFonts w:ascii="Times New Roman" w:eastAsia="Times New Roman" w:hAnsi="Times New Roman" w:cs="Times New Roman"/>
          <w:highlight w:val="white"/>
        </w:rPr>
        <w:t xml:space="preserve"> või turustamine;</w:t>
      </w:r>
    </w:p>
    <w:p w14:paraId="546FC738" w14:textId="77777777" w:rsidR="008312AA" w:rsidRDefault="00000000">
      <w:pPr>
        <w:pStyle w:val="Loendilik"/>
        <w:numPr>
          <w:ilvl w:val="0"/>
          <w:numId w:val="14"/>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majandustegevuse mitmekesistamine;</w:t>
      </w:r>
    </w:p>
    <w:p w14:paraId="5F3A8044" w14:textId="77777777" w:rsidR="008312AA" w:rsidRDefault="00000000">
      <w:pPr>
        <w:pStyle w:val="Loendilik"/>
        <w:numPr>
          <w:ilvl w:val="0"/>
          <w:numId w:val="14"/>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kalasadamate uuendamine;</w:t>
      </w:r>
    </w:p>
    <w:p w14:paraId="62579122" w14:textId="77777777" w:rsidR="008312AA" w:rsidRDefault="00000000">
      <w:pPr>
        <w:pStyle w:val="Loendilik"/>
        <w:numPr>
          <w:ilvl w:val="0"/>
          <w:numId w:val="14"/>
        </w:numPr>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koelmualade loomine või taastamine ja kalaliigi veekogusse asustamine riikliku majanduskava alusel;</w:t>
      </w:r>
    </w:p>
    <w:p w14:paraId="5467BCC9" w14:textId="77777777" w:rsidR="008312AA" w:rsidRDefault="00000000">
      <w:pPr>
        <w:pStyle w:val="Loendilik"/>
        <w:numPr>
          <w:ilvl w:val="0"/>
          <w:numId w:val="14"/>
        </w:num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sotsiaalse heaolu ja kultuuripärandi, sh kalanduse- ja merenduse kultuuripärandi edendamine, kalanduskogukondade rolli tugevdamine kohalikus arengus ning kohalike kalandusressursside ja merendustegevuse juhtimine.</w:t>
      </w:r>
    </w:p>
    <w:p w14:paraId="2AC25964"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Algatusrühma koostöötegevused meetme (EMKF meede 3.4) toetust anti kalanduse algatusrühmale koostööprojektide elluviimiseks, koostööprojektid võisid  olla riigisisesed või piiriülesed.</w:t>
      </w:r>
    </w:p>
    <w:p w14:paraId="7CEC1A28"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Algatusrühma jooksvaid kulusid ja arengustrateegia </w:t>
      </w:r>
      <w:proofErr w:type="spellStart"/>
      <w:r>
        <w:rPr>
          <w:rFonts w:ascii="Times New Roman" w:eastAsia="Times New Roman" w:hAnsi="Times New Roman" w:cs="Times New Roman"/>
          <w:highlight w:val="white"/>
        </w:rPr>
        <w:t>elavdemisega</w:t>
      </w:r>
      <w:proofErr w:type="spellEnd"/>
      <w:r>
        <w:rPr>
          <w:rFonts w:ascii="Times New Roman" w:eastAsia="Times New Roman" w:hAnsi="Times New Roman" w:cs="Times New Roman"/>
          <w:highlight w:val="white"/>
        </w:rPr>
        <w:t xml:space="preserve"> seotud kulusid toetati EMKF meetme 3.2. “Kohaliku algatusrühma toetus” vahenditest.</w:t>
      </w:r>
    </w:p>
    <w:p w14:paraId="08B45FA7"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MTÜ Saarte Kalandus EMKF meetmete 3.2., 3.3 ja 3.4 kogu eelarve perioodiks 2014-2020+ oli rahalisi vahendeid summas 4 540 354,70 €, mis jagunesid järgmiselt:</w:t>
      </w:r>
    </w:p>
    <w:p w14:paraId="0AC64B89" w14:textId="2FC40D86" w:rsidR="00775E64" w:rsidRDefault="00775E64">
      <w:pPr>
        <w:spacing w:line="276" w:lineRule="auto"/>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br/>
      </w:r>
    </w:p>
    <w:p w14:paraId="5D2A030E" w14:textId="0C65BCED" w:rsidR="008312AA" w:rsidRDefault="00775E64" w:rsidP="00775E64">
      <w:pPr>
        <w:spacing w:after="0"/>
        <w:jc w:val="left"/>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br w:type="page"/>
      </w:r>
    </w:p>
    <w:p w14:paraId="744C6D48" w14:textId="77777777" w:rsidR="008312AA" w:rsidRDefault="00000000">
      <w:pPr>
        <w:spacing w:line="276" w:lineRule="auto"/>
        <w:rPr>
          <w:rFonts w:ascii="Times New Roman" w:eastAsia="Times New Roman" w:hAnsi="Times New Roman" w:cs="Times New Roman"/>
          <w:i/>
          <w:iCs/>
          <w:highlight w:val="white"/>
        </w:rPr>
      </w:pPr>
      <w:r>
        <w:rPr>
          <w:rFonts w:ascii="Times New Roman" w:eastAsia="Times New Roman" w:hAnsi="Times New Roman" w:cs="Times New Roman"/>
          <w:i/>
          <w:iCs/>
          <w:highlight w:val="white"/>
        </w:rPr>
        <w:lastRenderedPageBreak/>
        <w:t xml:space="preserve">Tabel 6. Perioodi 2016 – 2022 eelarve </w:t>
      </w:r>
    </w:p>
    <w:tbl>
      <w:tblPr>
        <w:tblW w:w="9049" w:type="dxa"/>
        <w:tblLayout w:type="fixed"/>
        <w:tblCellMar>
          <w:top w:w="100" w:type="dxa"/>
          <w:left w:w="100" w:type="dxa"/>
          <w:bottom w:w="100" w:type="dxa"/>
          <w:right w:w="100" w:type="dxa"/>
        </w:tblCellMar>
        <w:tblLook w:val="0600" w:firstRow="0" w:lastRow="0" w:firstColumn="0" w:lastColumn="0" w:noHBand="1" w:noVBand="1"/>
      </w:tblPr>
      <w:tblGrid>
        <w:gridCol w:w="4524"/>
        <w:gridCol w:w="4525"/>
      </w:tblGrid>
      <w:tr w:rsidR="008312AA" w14:paraId="568A839F" w14:textId="77777777">
        <w:tc>
          <w:tcPr>
            <w:tcW w:w="4524" w:type="dxa"/>
            <w:tcBorders>
              <w:top w:val="single" w:sz="8" w:space="0" w:color="000000"/>
              <w:left w:val="single" w:sz="8" w:space="0" w:color="000000"/>
              <w:bottom w:val="single" w:sz="8" w:space="0" w:color="000000"/>
              <w:right w:val="single" w:sz="8" w:space="0" w:color="000000"/>
            </w:tcBorders>
            <w:shd w:val="clear" w:color="auto" w:fill="C2F2F8"/>
          </w:tcPr>
          <w:p w14:paraId="33094AEF" w14:textId="77777777" w:rsidR="008312AA" w:rsidRDefault="00000000">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Meede</w:t>
            </w:r>
          </w:p>
        </w:tc>
        <w:tc>
          <w:tcPr>
            <w:tcW w:w="4524" w:type="dxa"/>
            <w:tcBorders>
              <w:top w:val="single" w:sz="8" w:space="0" w:color="000000"/>
              <w:left w:val="single" w:sz="8" w:space="0" w:color="000000"/>
              <w:bottom w:val="single" w:sz="8" w:space="0" w:color="000000"/>
              <w:right w:val="single" w:sz="8" w:space="0" w:color="000000"/>
            </w:tcBorders>
            <w:shd w:val="clear" w:color="auto" w:fill="C2F2F8"/>
          </w:tcPr>
          <w:p w14:paraId="068C7C55" w14:textId="77777777" w:rsidR="008312AA" w:rsidRDefault="00000000">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Eelarve</w:t>
            </w:r>
          </w:p>
        </w:tc>
      </w:tr>
      <w:tr w:rsidR="008312AA" w14:paraId="3AF4250C" w14:textId="77777777">
        <w:tc>
          <w:tcPr>
            <w:tcW w:w="4524" w:type="dxa"/>
            <w:tcBorders>
              <w:top w:val="single" w:sz="8" w:space="0" w:color="000000"/>
              <w:left w:val="single" w:sz="8" w:space="0" w:color="000000"/>
              <w:bottom w:val="single" w:sz="8" w:space="0" w:color="000000"/>
              <w:right w:val="single" w:sz="8" w:space="0" w:color="000000"/>
            </w:tcBorders>
            <w:shd w:val="clear" w:color="auto" w:fill="auto"/>
          </w:tcPr>
          <w:p w14:paraId="1AE85430" w14:textId="77777777" w:rsidR="008312AA" w:rsidRDefault="00000000">
            <w:pPr>
              <w:widowControl w:val="0"/>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3.2. “Kohaliku algatusrühma toetus”</w:t>
            </w:r>
          </w:p>
        </w:tc>
        <w:tc>
          <w:tcPr>
            <w:tcW w:w="4524" w:type="dxa"/>
            <w:tcBorders>
              <w:top w:val="single" w:sz="8" w:space="0" w:color="000000"/>
              <w:left w:val="single" w:sz="8" w:space="0" w:color="000000"/>
              <w:bottom w:val="single" w:sz="8" w:space="0" w:color="000000"/>
              <w:right w:val="single" w:sz="8" w:space="0" w:color="000000"/>
            </w:tcBorders>
            <w:shd w:val="clear" w:color="auto" w:fill="auto"/>
          </w:tcPr>
          <w:p w14:paraId="5DF27EB7" w14:textId="77777777" w:rsidR="008312AA" w:rsidRDefault="00000000">
            <w:pPr>
              <w:widowControl w:val="0"/>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681 053,20 € ehk 15 % kogu esialgsest eelarvest. Kokku 738 053,20 € *</w:t>
            </w:r>
            <w:r>
              <w:rPr>
                <w:rStyle w:val="Allmrkuseviide"/>
                <w:rFonts w:ascii="Times New Roman" w:eastAsia="Times New Roman" w:hAnsi="Times New Roman" w:cs="Times New Roman"/>
                <w:highlight w:val="white"/>
              </w:rPr>
              <w:footnoteReference w:id="66"/>
            </w:r>
          </w:p>
        </w:tc>
      </w:tr>
      <w:tr w:rsidR="008312AA" w14:paraId="6686EC1D" w14:textId="77777777">
        <w:tc>
          <w:tcPr>
            <w:tcW w:w="4524" w:type="dxa"/>
            <w:tcBorders>
              <w:top w:val="single" w:sz="8" w:space="0" w:color="000000"/>
              <w:left w:val="single" w:sz="8" w:space="0" w:color="000000"/>
              <w:bottom w:val="single" w:sz="8" w:space="0" w:color="000000"/>
              <w:right w:val="single" w:sz="8" w:space="0" w:color="000000"/>
            </w:tcBorders>
            <w:shd w:val="clear" w:color="auto" w:fill="auto"/>
          </w:tcPr>
          <w:p w14:paraId="433E0CC9" w14:textId="77777777" w:rsidR="008312AA" w:rsidRDefault="00000000">
            <w:pPr>
              <w:widowControl w:val="0"/>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3.3. „Kalanduspiirkonna kohaliku arengu strateegia rakendamine“</w:t>
            </w:r>
          </w:p>
        </w:tc>
        <w:tc>
          <w:tcPr>
            <w:tcW w:w="4524" w:type="dxa"/>
            <w:tcBorders>
              <w:top w:val="single" w:sz="8" w:space="0" w:color="000000"/>
              <w:left w:val="single" w:sz="8" w:space="0" w:color="000000"/>
              <w:bottom w:val="single" w:sz="8" w:space="0" w:color="000000"/>
              <w:right w:val="single" w:sz="8" w:space="0" w:color="000000"/>
            </w:tcBorders>
            <w:shd w:val="clear" w:color="auto" w:fill="auto"/>
          </w:tcPr>
          <w:p w14:paraId="3E7D432D" w14:textId="77777777" w:rsidR="008312AA" w:rsidRDefault="00000000">
            <w:pPr>
              <w:widowControl w:val="0"/>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3 486 640,62 €/ kokku 3 763 601,76 </w:t>
            </w:r>
            <w:r>
              <w:rPr>
                <w:rStyle w:val="Allmrkuseviide"/>
                <w:rFonts w:ascii="Times New Roman" w:eastAsia="Times New Roman" w:hAnsi="Times New Roman" w:cs="Times New Roman"/>
                <w:highlight w:val="white"/>
              </w:rPr>
              <w:footnoteReference w:id="67"/>
            </w:r>
          </w:p>
        </w:tc>
      </w:tr>
      <w:tr w:rsidR="008312AA" w14:paraId="1F048F3A" w14:textId="77777777">
        <w:tc>
          <w:tcPr>
            <w:tcW w:w="4524" w:type="dxa"/>
            <w:tcBorders>
              <w:top w:val="single" w:sz="8" w:space="0" w:color="000000"/>
              <w:left w:val="single" w:sz="8" w:space="0" w:color="000000"/>
              <w:bottom w:val="single" w:sz="8" w:space="0" w:color="000000"/>
              <w:right w:val="single" w:sz="8" w:space="0" w:color="000000"/>
            </w:tcBorders>
            <w:shd w:val="clear" w:color="auto" w:fill="auto"/>
          </w:tcPr>
          <w:p w14:paraId="611CFB69" w14:textId="77777777" w:rsidR="008312AA" w:rsidRDefault="00000000">
            <w:pPr>
              <w:widowControl w:val="0"/>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3.4. “Algatusrühma koostöötegevused”</w:t>
            </w:r>
          </w:p>
        </w:tc>
        <w:tc>
          <w:tcPr>
            <w:tcW w:w="4524" w:type="dxa"/>
            <w:tcBorders>
              <w:top w:val="single" w:sz="8" w:space="0" w:color="000000"/>
              <w:left w:val="single" w:sz="8" w:space="0" w:color="000000"/>
              <w:bottom w:val="single" w:sz="8" w:space="0" w:color="000000"/>
              <w:right w:val="single" w:sz="8" w:space="0" w:color="000000"/>
            </w:tcBorders>
            <w:shd w:val="clear" w:color="auto" w:fill="auto"/>
          </w:tcPr>
          <w:p w14:paraId="2FE5D40C" w14:textId="77777777" w:rsidR="008312AA" w:rsidRDefault="00000000">
            <w:pPr>
              <w:widowControl w:val="0"/>
              <w:spacing w:after="0"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372 660, 88 €</w:t>
            </w:r>
          </w:p>
        </w:tc>
      </w:tr>
    </w:tbl>
    <w:p w14:paraId="0CF766C3" w14:textId="77777777" w:rsidR="008312AA" w:rsidRDefault="008312AA">
      <w:pPr>
        <w:spacing w:line="276" w:lineRule="auto"/>
        <w:rPr>
          <w:rFonts w:ascii="Times New Roman" w:eastAsia="Times New Roman" w:hAnsi="Times New Roman" w:cs="Times New Roman"/>
          <w:highlight w:val="white"/>
        </w:rPr>
      </w:pPr>
    </w:p>
    <w:p w14:paraId="0A2DED48" w14:textId="77777777" w:rsidR="008312AA" w:rsidRDefault="00000000">
      <w:pPr>
        <w:spacing w:line="276" w:lineRule="auto"/>
        <w:rPr>
          <w:rFonts w:ascii="Times New Roman" w:eastAsia="Times New Roman" w:hAnsi="Times New Roman" w:cs="Times New Roman"/>
          <w:i/>
        </w:rPr>
      </w:pPr>
      <w:r>
        <w:rPr>
          <w:rFonts w:ascii="Times New Roman" w:eastAsia="Times New Roman" w:hAnsi="Times New Roman" w:cs="Times New Roman"/>
          <w:highlight w:val="white"/>
        </w:rPr>
        <w:t>Perioodil 2016-2022 esitati kokku 196 projektitoetuse taotlust ja rahastuse said neist 130 ehk 66 %.</w:t>
      </w:r>
      <w:r>
        <w:rPr>
          <w:rFonts w:ascii="Times New Roman" w:eastAsia="Times New Roman" w:hAnsi="Times New Roman" w:cs="Times New Roman"/>
          <w:i/>
        </w:rPr>
        <w:t xml:space="preserve"> </w:t>
      </w:r>
    </w:p>
    <w:p w14:paraId="1EF49D9A"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i/>
        </w:rPr>
        <w:t>Tabel 7. Esitatud ja toetatud projektide arv perioodil 2016-2022 (allikas: PRIA)</w:t>
      </w:r>
    </w:p>
    <w:tbl>
      <w:tblPr>
        <w:tblW w:w="9026" w:type="dxa"/>
        <w:tblInd w:w="-100" w:type="dxa"/>
        <w:tblLayout w:type="fixed"/>
        <w:tblCellMar>
          <w:top w:w="100" w:type="dxa"/>
          <w:left w:w="100" w:type="dxa"/>
          <w:bottom w:w="100" w:type="dxa"/>
          <w:right w:w="100" w:type="dxa"/>
        </w:tblCellMar>
        <w:tblLook w:val="0600" w:firstRow="0" w:lastRow="0" w:firstColumn="0" w:lastColumn="0" w:noHBand="1" w:noVBand="1"/>
      </w:tblPr>
      <w:tblGrid>
        <w:gridCol w:w="3008"/>
        <w:gridCol w:w="3009"/>
        <w:gridCol w:w="3009"/>
      </w:tblGrid>
      <w:tr w:rsidR="008312AA" w14:paraId="0C4CB447" w14:textId="77777777">
        <w:tc>
          <w:tcPr>
            <w:tcW w:w="3008" w:type="dxa"/>
            <w:tcBorders>
              <w:top w:val="single" w:sz="8" w:space="0" w:color="000000"/>
              <w:left w:val="single" w:sz="8" w:space="0" w:color="000000"/>
              <w:bottom w:val="single" w:sz="8" w:space="0" w:color="000000"/>
              <w:right w:val="single" w:sz="8" w:space="0" w:color="000000"/>
            </w:tcBorders>
            <w:shd w:val="clear" w:color="auto" w:fill="C2F2F8"/>
          </w:tcPr>
          <w:p w14:paraId="294EEA7F"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Tegevussuund</w:t>
            </w:r>
          </w:p>
        </w:tc>
        <w:tc>
          <w:tcPr>
            <w:tcW w:w="3009" w:type="dxa"/>
            <w:tcBorders>
              <w:top w:val="single" w:sz="8" w:space="0" w:color="000000"/>
              <w:left w:val="single" w:sz="8" w:space="0" w:color="000000"/>
              <w:bottom w:val="single" w:sz="8" w:space="0" w:color="000000"/>
              <w:right w:val="single" w:sz="8" w:space="0" w:color="000000"/>
            </w:tcBorders>
            <w:shd w:val="clear" w:color="auto" w:fill="C2F2F8"/>
          </w:tcPr>
          <w:p w14:paraId="5386E3E6"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Esitatud projektide arv</w:t>
            </w:r>
          </w:p>
        </w:tc>
        <w:tc>
          <w:tcPr>
            <w:tcW w:w="3009" w:type="dxa"/>
            <w:tcBorders>
              <w:top w:val="single" w:sz="8" w:space="0" w:color="000000"/>
              <w:left w:val="single" w:sz="8" w:space="0" w:color="000000"/>
              <w:bottom w:val="single" w:sz="8" w:space="0" w:color="000000"/>
              <w:right w:val="single" w:sz="8" w:space="0" w:color="000000"/>
            </w:tcBorders>
            <w:shd w:val="clear" w:color="auto" w:fill="C2F2F8"/>
          </w:tcPr>
          <w:p w14:paraId="78E1DF9E" w14:textId="77777777" w:rsidR="008312AA" w:rsidRDefault="00000000">
            <w:pPr>
              <w:widowControl w:val="0"/>
              <w:spacing w:line="276" w:lineRule="auto"/>
              <w:rPr>
                <w:rFonts w:ascii="Times New Roman" w:eastAsia="Times New Roman" w:hAnsi="Times New Roman" w:cs="Times New Roman"/>
                <w:b/>
              </w:rPr>
            </w:pPr>
            <w:r>
              <w:rPr>
                <w:rFonts w:ascii="Times New Roman" w:eastAsia="Times New Roman" w:hAnsi="Times New Roman" w:cs="Times New Roman"/>
                <w:b/>
              </w:rPr>
              <w:t>Toetust saanud projektide arv</w:t>
            </w:r>
          </w:p>
        </w:tc>
      </w:tr>
      <w:tr w:rsidR="008312AA" w14:paraId="1B0D6B53"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75ACAF47" w14:textId="77777777" w:rsidR="008312AA" w:rsidRDefault="00000000">
            <w:pPr>
              <w:widowControl w:val="0"/>
              <w:spacing w:line="276" w:lineRule="auto"/>
              <w:rPr>
                <w:rFonts w:ascii="Times New Roman" w:eastAsia="Times New Roman" w:hAnsi="Times New Roman" w:cs="Times New Roman"/>
                <w:b/>
                <w:highlight w:val="white"/>
              </w:rPr>
            </w:pPr>
            <w:proofErr w:type="spellStart"/>
            <w:r>
              <w:rPr>
                <w:rFonts w:ascii="Times New Roman" w:eastAsia="Times New Roman" w:hAnsi="Times New Roman" w:cs="Times New Roman"/>
                <w:b/>
                <w:highlight w:val="white"/>
              </w:rPr>
              <w:t>Väärindamine</w:t>
            </w:r>
            <w:proofErr w:type="spellEnd"/>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7CCD2C6D"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29</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662E58B1"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25</w:t>
            </w:r>
          </w:p>
        </w:tc>
      </w:tr>
      <w:tr w:rsidR="008312AA" w14:paraId="2C09FE6C"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6CDB0DA4"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Mitmekesistamine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2AA73927"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67</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6C484849"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42</w:t>
            </w:r>
          </w:p>
        </w:tc>
      </w:tr>
      <w:tr w:rsidR="008312AA" w14:paraId="599DA237"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16725046"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Kalasadamate uuendamine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3A7E5B81"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22</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1C89480B"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12</w:t>
            </w:r>
          </w:p>
        </w:tc>
      </w:tr>
      <w:tr w:rsidR="008312AA" w14:paraId="3D3255BC"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0F64F81E"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Koelmualade taastamine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2F8F4C19"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6</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27673393"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w:t>
            </w:r>
          </w:p>
        </w:tc>
      </w:tr>
      <w:tr w:rsidR="008312AA" w14:paraId="6FFC8F2C"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4F0FE423"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Sotsiaalse heaolu ja kultuuripärandi toetamine, sh merekultuuri toetamine</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2FB00090"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72</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0E1252BB" w14:textId="77777777" w:rsidR="008312AA" w:rsidRDefault="00000000">
            <w:pPr>
              <w:widowControl w:val="0"/>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47</w:t>
            </w:r>
          </w:p>
        </w:tc>
      </w:tr>
      <w:tr w:rsidR="008312AA" w14:paraId="1EE5553F" w14:textId="77777777">
        <w:tc>
          <w:tcPr>
            <w:tcW w:w="3008" w:type="dxa"/>
            <w:tcBorders>
              <w:top w:val="single" w:sz="8" w:space="0" w:color="000000"/>
              <w:left w:val="single" w:sz="8" w:space="0" w:color="000000"/>
              <w:bottom w:val="single" w:sz="8" w:space="0" w:color="000000"/>
              <w:right w:val="single" w:sz="8" w:space="0" w:color="000000"/>
            </w:tcBorders>
            <w:shd w:val="clear" w:color="auto" w:fill="auto"/>
          </w:tcPr>
          <w:p w14:paraId="470D7083"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Kokku</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69A23039"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196</w:t>
            </w:r>
          </w:p>
        </w:tc>
        <w:tc>
          <w:tcPr>
            <w:tcW w:w="3009" w:type="dxa"/>
            <w:tcBorders>
              <w:top w:val="single" w:sz="8" w:space="0" w:color="000000"/>
              <w:left w:val="single" w:sz="8" w:space="0" w:color="000000"/>
              <w:bottom w:val="single" w:sz="8" w:space="0" w:color="000000"/>
              <w:right w:val="single" w:sz="8" w:space="0" w:color="000000"/>
            </w:tcBorders>
            <w:shd w:val="clear" w:color="auto" w:fill="auto"/>
          </w:tcPr>
          <w:p w14:paraId="0E20E45C" w14:textId="77777777" w:rsidR="008312AA" w:rsidRDefault="00000000">
            <w:pPr>
              <w:widowControl w:val="0"/>
              <w:spacing w:line="276"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130</w:t>
            </w:r>
          </w:p>
        </w:tc>
      </w:tr>
    </w:tbl>
    <w:p w14:paraId="5F0411B9" w14:textId="77777777" w:rsidR="008312AA" w:rsidRDefault="008312AA">
      <w:pPr>
        <w:spacing w:line="276" w:lineRule="auto"/>
        <w:rPr>
          <w:rFonts w:ascii="Times New Roman" w:eastAsia="Times New Roman" w:hAnsi="Times New Roman" w:cs="Times New Roman"/>
          <w:i/>
        </w:rPr>
      </w:pPr>
    </w:p>
    <w:p w14:paraId="3A28DD1E"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Peamisteks taotlejateks on olnud kalandussektori mikroettevõtjad, KOV ja selle hallatavad asutused, kalandussektori MTÜ-d ja vähesel määral ka kalandussektori välised ettevõtjad ja MTÜ-d. Täpsem ülevaade on leitav allolevalt  jooniselt:</w:t>
      </w:r>
    </w:p>
    <w:p w14:paraId="4CB7ABDA" w14:textId="77777777" w:rsidR="008312AA" w:rsidRDefault="008312AA">
      <w:pPr>
        <w:spacing w:line="276" w:lineRule="auto"/>
        <w:rPr>
          <w:rFonts w:ascii="Times New Roman" w:eastAsia="Times New Roman" w:hAnsi="Times New Roman" w:cs="Times New Roman"/>
          <w:highlight w:val="white"/>
        </w:rPr>
      </w:pPr>
    </w:p>
    <w:p w14:paraId="3D48AFE0" w14:textId="77777777" w:rsidR="008312AA" w:rsidRDefault="00000000">
      <w:pPr>
        <w:spacing w:line="276" w:lineRule="auto"/>
        <w:rPr>
          <w:rFonts w:ascii="Times New Roman" w:eastAsia="Times New Roman" w:hAnsi="Times New Roman" w:cs="Times New Roman"/>
          <w:highlight w:val="white"/>
        </w:rPr>
      </w:pPr>
      <w:r>
        <w:rPr>
          <w:noProof/>
        </w:rPr>
        <w:drawing>
          <wp:inline distT="0" distB="0" distL="0" distR="0" wp14:anchorId="344AF6C3" wp14:editId="3AE95388">
            <wp:extent cx="5680710" cy="3154045"/>
            <wp:effectExtent l="0" t="0" r="0" b="0"/>
            <wp:docPr id="1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a:picLocks noChangeAspect="1" noChangeArrowheads="1"/>
                    </pic:cNvPicPr>
                  </pic:nvPicPr>
                  <pic:blipFill>
                    <a:blip r:embed="rId50"/>
                    <a:stretch>
                      <a:fillRect/>
                    </a:stretch>
                  </pic:blipFill>
                  <pic:spPr bwMode="auto">
                    <a:xfrm>
                      <a:off x="0" y="0"/>
                      <a:ext cx="5680710" cy="3154045"/>
                    </a:xfrm>
                    <a:prstGeom prst="rect">
                      <a:avLst/>
                    </a:prstGeom>
                  </pic:spPr>
                </pic:pic>
              </a:graphicData>
            </a:graphic>
          </wp:inline>
        </w:drawing>
      </w:r>
    </w:p>
    <w:p w14:paraId="288FEA82"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16:  EMKF meetme 3.3. toetuse saajad 2016 - 2022 taotleja tüübi järgi  (allikas: PRIA)</w:t>
      </w:r>
    </w:p>
    <w:p w14:paraId="342457AB" w14:textId="77777777" w:rsidR="008312AA" w:rsidRDefault="008312AA">
      <w:pPr>
        <w:pStyle w:val="Pealkiri2"/>
        <w:spacing w:line="276" w:lineRule="auto"/>
        <w:ind w:left="0" w:firstLine="0"/>
        <w:rPr>
          <w:rFonts w:ascii="Times New Roman" w:eastAsia="Times New Roman" w:hAnsi="Times New Roman" w:cs="Times New Roman"/>
          <w:color w:val="auto"/>
          <w:sz w:val="24"/>
          <w:szCs w:val="24"/>
        </w:rPr>
      </w:pPr>
    </w:p>
    <w:p w14:paraId="7143F7CF" w14:textId="77777777" w:rsidR="008312AA" w:rsidRPr="006C117C" w:rsidRDefault="00000000" w:rsidP="00541032">
      <w:pPr>
        <w:pStyle w:val="Pealkiri3"/>
        <w:ind w:left="0" w:firstLine="0"/>
        <w:jc w:val="left"/>
        <w:rPr>
          <w:rFonts w:ascii="Times New Roman" w:hAnsi="Times New Roman" w:cs="Times New Roman"/>
          <w:color w:val="005E00"/>
        </w:rPr>
      </w:pPr>
      <w:bookmarkStart w:id="83" w:name="_Toc157420977"/>
      <w:r w:rsidRPr="006C117C">
        <w:rPr>
          <w:rFonts w:ascii="Times New Roman" w:hAnsi="Times New Roman" w:cs="Times New Roman"/>
          <w:color w:val="005E00"/>
        </w:rPr>
        <w:t>6.3.2. Toetuse jaotus</w:t>
      </w:r>
      <w:bookmarkEnd w:id="83"/>
    </w:p>
    <w:p w14:paraId="5786C558" w14:textId="77777777" w:rsidR="008312AA" w:rsidRDefault="00000000">
      <w:pPr>
        <w:spacing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EMKF-i meetmete toetus on olnud Saare maakonna kalanduspiirkonna jätkusuutliku arendamise tagamiseks väga vajalik. Seisuga 3.10.2023. a on välja makstud toetust rahastusperioodil 2016-2023 EMKF meetmest 3.3. kogusummas 3 454 809 € (toetust määrati summas 3 920 708 €). Seitse projekti on eelnimetatud seisuga pooleli ja katkestatud on kogu perioodi vältel viis projekti. Järgmiselt jooniselt on näha määratud toetusesummade jaotus tegevussuundade lõikes.</w:t>
      </w:r>
    </w:p>
    <w:p w14:paraId="684DB8A1" w14:textId="77777777" w:rsidR="008312AA" w:rsidRDefault="008312AA">
      <w:pPr>
        <w:spacing w:line="276" w:lineRule="auto"/>
        <w:rPr>
          <w:rFonts w:ascii="Times New Roman" w:eastAsia="Times New Roman" w:hAnsi="Times New Roman" w:cs="Times New Roman"/>
        </w:rPr>
      </w:pPr>
    </w:p>
    <w:p w14:paraId="08B0D567" w14:textId="77777777" w:rsidR="008312AA" w:rsidRDefault="00000000">
      <w:pPr>
        <w:spacing w:line="276" w:lineRule="auto"/>
        <w:rPr>
          <w:rFonts w:ascii="Times New Roman" w:eastAsia="Times New Roman" w:hAnsi="Times New Roman" w:cs="Times New Roman"/>
        </w:rPr>
      </w:pPr>
      <w:r>
        <w:rPr>
          <w:noProof/>
        </w:rPr>
        <w:lastRenderedPageBreak/>
        <w:drawing>
          <wp:inline distT="0" distB="0" distL="0" distR="0" wp14:anchorId="24366731" wp14:editId="56219406">
            <wp:extent cx="5745480" cy="424180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a:picLocks noChangeAspect="1" noChangeArrowheads="1"/>
                    </pic:cNvPicPr>
                  </pic:nvPicPr>
                  <pic:blipFill>
                    <a:blip r:embed="rId51"/>
                    <a:stretch>
                      <a:fillRect/>
                    </a:stretch>
                  </pic:blipFill>
                  <pic:spPr bwMode="auto">
                    <a:xfrm>
                      <a:off x="0" y="0"/>
                      <a:ext cx="5745480" cy="4241800"/>
                    </a:xfrm>
                    <a:prstGeom prst="rect">
                      <a:avLst/>
                    </a:prstGeom>
                  </pic:spPr>
                </pic:pic>
              </a:graphicData>
            </a:graphic>
          </wp:inline>
        </w:drawing>
      </w:r>
    </w:p>
    <w:p w14:paraId="02F78CE4" w14:textId="77777777" w:rsidR="008312AA" w:rsidRDefault="00000000">
      <w:pPr>
        <w:spacing w:before="120" w:line="276" w:lineRule="auto"/>
        <w:rPr>
          <w:rFonts w:ascii="Times New Roman" w:eastAsia="Times New Roman" w:hAnsi="Times New Roman" w:cs="Times New Roman"/>
          <w:i/>
        </w:rPr>
      </w:pPr>
      <w:r>
        <w:rPr>
          <w:rFonts w:ascii="Times New Roman" w:eastAsia="Times New Roman" w:hAnsi="Times New Roman" w:cs="Times New Roman"/>
          <w:i/>
        </w:rPr>
        <w:t>Joonis 17: EMKF meetme 3.3. ja 3.4.määratud toetuse summad 2016-2023  (allikas: PRIA)</w:t>
      </w:r>
    </w:p>
    <w:p w14:paraId="6DE4AA57" w14:textId="77777777" w:rsidR="008312AA" w:rsidRDefault="00000000">
      <w:pPr>
        <w:spacing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Kõige suurem osa toetusest summas 1 160 956 € maksti välja sotsiaalse heaolu ja kultuuripärandi edendamiseks (määrati toetust summas 1 552 255 €). Kalasadamate uuendamiseks maksti toetust 992 805 € (määratud toetuse summa 1 033 845 €), kaluri tegevuste mitmekesistamiseks 525 908 € (määratud toetuse summa 598 679 €), </w:t>
      </w:r>
      <w:proofErr w:type="spellStart"/>
      <w:r>
        <w:rPr>
          <w:rFonts w:ascii="Times New Roman" w:eastAsia="Times New Roman" w:hAnsi="Times New Roman" w:cs="Times New Roman"/>
          <w:color w:val="FF0000"/>
        </w:rPr>
        <w:t>väärindamise</w:t>
      </w:r>
      <w:proofErr w:type="spellEnd"/>
      <w:r>
        <w:rPr>
          <w:rFonts w:ascii="Times New Roman" w:eastAsia="Times New Roman" w:hAnsi="Times New Roman" w:cs="Times New Roman"/>
          <w:color w:val="FF0000"/>
        </w:rPr>
        <w:t xml:space="preserve"> ja töötlemise edendamiseks 362 551 € (määratud toetuse summa 496 012 €) ja koelmute taastamiseks on PRIA poolt välja makstud 229 149 € (määratud toetuse summa 243 265 €).</w:t>
      </w:r>
    </w:p>
    <w:p w14:paraId="7867CF8E" w14:textId="77777777" w:rsidR="008312AA" w:rsidRDefault="00000000">
      <w:pPr>
        <w:spacing w:line="276" w:lineRule="auto"/>
        <w:rPr>
          <w:rFonts w:ascii="Times New Roman" w:eastAsia="Times New Roman" w:hAnsi="Times New Roman" w:cs="Times New Roman"/>
          <w:color w:val="FF0000"/>
        </w:rPr>
      </w:pPr>
      <w:r>
        <w:rPr>
          <w:rFonts w:ascii="Times New Roman" w:eastAsia="Times New Roman" w:hAnsi="Times New Roman" w:cs="Times New Roman"/>
          <w:color w:val="FF0000"/>
        </w:rPr>
        <w:t xml:space="preserve">Koostöömeetmest (EMKF meede 3.4 “Algatusrühma koostöötegevused”) on ellu viidud 11 koostööprojekti väljamakstud toetuse summas 126 729  € (määratud toetuse summa 135 269 €). </w:t>
      </w:r>
      <w:r>
        <w:rPr>
          <w:rStyle w:val="Allmrkuseviide"/>
          <w:rFonts w:ascii="Times New Roman" w:eastAsia="Times New Roman" w:hAnsi="Times New Roman" w:cs="Times New Roman"/>
          <w:color w:val="FF0000"/>
        </w:rPr>
        <w:footnoteReference w:id="68"/>
      </w:r>
    </w:p>
    <w:p w14:paraId="41926668" w14:textId="2BA25389" w:rsidR="008312AA" w:rsidRDefault="00000000">
      <w:pPr>
        <w:rPr>
          <w:rFonts w:ascii="Times New Roman" w:hAnsi="Times New Roman" w:cs="Times New Roman"/>
        </w:rPr>
      </w:pPr>
      <w:bookmarkStart w:id="84" w:name="_Toc156200699"/>
      <w:r>
        <w:rPr>
          <w:rFonts w:ascii="Times New Roman" w:hAnsi="Times New Roman" w:cs="Times New Roman"/>
        </w:rPr>
        <w:t xml:space="preserve">Täpsem ülevaade eelmise strateegiaperioodi tegevussuundade eesmärkide täitmisest on ära toodud strateegia lisas nr </w:t>
      </w:r>
      <w:r w:rsidR="00DB48AC">
        <w:rPr>
          <w:rFonts w:ascii="Times New Roman" w:hAnsi="Times New Roman" w:cs="Times New Roman"/>
        </w:rPr>
        <w:t>7</w:t>
      </w:r>
      <w:r>
        <w:rPr>
          <w:rFonts w:ascii="Times New Roman" w:hAnsi="Times New Roman" w:cs="Times New Roman"/>
        </w:rPr>
        <w:t xml:space="preserve"> „Hinnang perioodi 2016-2020 + tegevussuundade eesmärkide saavutamisele“</w:t>
      </w:r>
      <w:bookmarkEnd w:id="84"/>
    </w:p>
    <w:p w14:paraId="0BD67AF3" w14:textId="3E376B68" w:rsidR="008312AA" w:rsidRPr="004B37EE" w:rsidRDefault="004B37EE" w:rsidP="004B37EE">
      <w:pPr>
        <w:spacing w:after="0"/>
        <w:jc w:val="left"/>
        <w:rPr>
          <w:rFonts w:ascii="Times New Roman" w:hAnsi="Times New Roman" w:cs="Times New Roman"/>
          <w:color w:val="FF0000"/>
        </w:rPr>
      </w:pPr>
      <w:r>
        <w:rPr>
          <w:rFonts w:ascii="Times New Roman" w:hAnsi="Times New Roman" w:cs="Times New Roman"/>
          <w:color w:val="FF0000"/>
        </w:rPr>
        <w:br w:type="page"/>
      </w:r>
    </w:p>
    <w:p w14:paraId="27A6A449"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85" w:name="_Toc157420978"/>
      <w:r>
        <w:rPr>
          <w:rFonts w:ascii="Times New Roman" w:eastAsia="Times New Roman" w:hAnsi="Times New Roman" w:cs="Times New Roman"/>
          <w:color w:val="7030A0"/>
          <w:sz w:val="28"/>
          <w:szCs w:val="28"/>
        </w:rPr>
        <w:lastRenderedPageBreak/>
        <w:t>6.4. Taotlusvoorude korraldamine</w:t>
      </w:r>
      <w:bookmarkEnd w:id="85"/>
    </w:p>
    <w:p w14:paraId="3EF94F73" w14:textId="77777777" w:rsidR="008312AA" w:rsidRDefault="008312AA">
      <w:pPr>
        <w:spacing w:line="276" w:lineRule="auto"/>
        <w:rPr>
          <w:rFonts w:ascii="Times New Roman" w:hAnsi="Times New Roman" w:cs="Times New Roman"/>
        </w:rPr>
      </w:pPr>
    </w:p>
    <w:p w14:paraId="7D69BAD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Projektide kirjutamise ja koostamise osas toimub taotlejate individuaalne eelnõustamine MTÜ Saarte Kalandus bürooruumis (soovitavalt eelnevalt kokkulepitud ajal) vajadusel on õigus kaasata valdkonna eksperte.</w:t>
      </w:r>
    </w:p>
    <w:p w14:paraId="5C313EDD" w14:textId="75C34FD8"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Taotlusvoore korraldatakse </w:t>
      </w:r>
      <w:r w:rsidR="00C5781B">
        <w:rPr>
          <w:rFonts w:ascii="Times New Roman" w:eastAsia="Times New Roman" w:hAnsi="Times New Roman" w:cs="Times New Roman"/>
        </w:rPr>
        <w:t>üks kuni kaks</w:t>
      </w:r>
      <w:r>
        <w:rPr>
          <w:rFonts w:ascii="Times New Roman" w:eastAsia="Times New Roman" w:hAnsi="Times New Roman" w:cs="Times New Roman"/>
        </w:rPr>
        <w:t xml:space="preserve"> korda aastas (vajadusel ka rohkem), taotlusvoorude toimumise aja ja tegevussuundade eelarve kinnitab MTÜ üldkoosolek. Taotlusvooru avamisest teavitatakse avalikkust kohaliku ajalehe “Saarte Hääl” vahendusel vähemalt 20 tööpäeva enne taotlusvooru avamist. Täpsem teave iga avatava taotlusvooru kohta on leitav ka ühingu kodulehelt.</w:t>
      </w:r>
      <w:hyperlink r:id="rId52">
        <w:r>
          <w:rPr>
            <w:rFonts w:ascii="Times New Roman" w:eastAsia="Times New Roman" w:hAnsi="Times New Roman" w:cs="Times New Roman"/>
          </w:rPr>
          <w:t xml:space="preserve"> </w:t>
        </w:r>
      </w:hyperlink>
      <w:hyperlink r:id="rId53">
        <w:r>
          <w:rPr>
            <w:rFonts w:ascii="Times New Roman" w:eastAsia="Times New Roman" w:hAnsi="Times New Roman" w:cs="Times New Roman"/>
            <w:color w:val="0070C0"/>
            <w:u w:val="single"/>
          </w:rPr>
          <w:t>www.saartekaladus.ee</w:t>
        </w:r>
      </w:hyperlink>
      <w:r>
        <w:rPr>
          <w:rFonts w:ascii="Times New Roman" w:eastAsia="Times New Roman" w:hAnsi="Times New Roman" w:cs="Times New Roman"/>
        </w:rPr>
        <w:t xml:space="preserve"> ja saadetakse ka e- kirja vahendusel ühingu liikmelisti.</w:t>
      </w:r>
    </w:p>
    <w:p w14:paraId="68459B32" w14:textId="77777777" w:rsidR="008312AA"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Teavituses antakse infot:</w:t>
      </w:r>
    </w:p>
    <w:p w14:paraId="515FB11E" w14:textId="144F362F" w:rsidR="008312AA" w:rsidRDefault="00000000">
      <w:pPr>
        <w:pStyle w:val="Loendilik"/>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projektitoetuse taotluste vastuvõtmise alustamisest, avatava vooru tegevussuundadest ja</w:t>
      </w:r>
      <w:r w:rsidR="009D53B4">
        <w:rPr>
          <w:rFonts w:ascii="Times New Roman" w:eastAsia="Times New Roman" w:hAnsi="Times New Roman" w:cs="Times New Roman"/>
        </w:rPr>
        <w:t xml:space="preserve"> </w:t>
      </w:r>
      <w:r>
        <w:rPr>
          <w:rFonts w:ascii="Times New Roman" w:eastAsia="Times New Roman" w:hAnsi="Times New Roman" w:cs="Times New Roman"/>
        </w:rPr>
        <w:t>tegevussuundade eelarvest;</w:t>
      </w:r>
    </w:p>
    <w:p w14:paraId="5F1AB193" w14:textId="77777777" w:rsidR="008312AA" w:rsidRDefault="00000000">
      <w:pPr>
        <w:pStyle w:val="Loendilik"/>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projektitaotluste vastuvõtmise algus- ja lõpptähtaegadest ning edastatakse vajalikud kontaktid lisainformatsiooni saamiseks;</w:t>
      </w:r>
    </w:p>
    <w:p w14:paraId="1E1B40E7" w14:textId="77777777" w:rsidR="008312AA" w:rsidRDefault="00000000">
      <w:pPr>
        <w:pStyle w:val="Loendilik"/>
        <w:numPr>
          <w:ilvl w:val="0"/>
          <w:numId w:val="16"/>
        </w:numPr>
        <w:spacing w:line="276" w:lineRule="auto"/>
        <w:rPr>
          <w:rFonts w:ascii="Times New Roman" w:eastAsia="Times New Roman" w:hAnsi="Times New Roman" w:cs="Times New Roman"/>
        </w:rPr>
      </w:pPr>
      <w:r>
        <w:rPr>
          <w:rFonts w:ascii="Times New Roman" w:eastAsia="Times New Roman" w:hAnsi="Times New Roman" w:cs="Times New Roman"/>
        </w:rPr>
        <w:t>projektide paremusjärjestuse moodustamise korrast ja hindamiskriteeriumitest viitega ühingu veebilehele.</w:t>
      </w:r>
    </w:p>
    <w:p w14:paraId="169591F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Kohalik tegevusrühm korraldab enne projektitoetuse taotluste vastuvõtmise tähtaja algust ka piirkondliku teabepäeva, teavitades sellest avalikkust kohaliku ajalehe “Saarte Hääl” vahendusel, (teade saadetakse ka e- kirja vahendusel ühingu liikmelisti),kus tutvustatakse projektitoetuse taotlemise võimalusi, sealhulgas toetatavaid tegevusi, toetuse saamise nõudeid ning toetuse taotlemise tingimusi ja korda.</w:t>
      </w:r>
    </w:p>
    <w:p w14:paraId="030EA05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Kõigi taotlusvoorude projektitoetuse taotluste esitamine, tehniline kontroll ja kõik hindamisega ning muud taotluste menetlemisega seotud tegevused viiakse läbi</w:t>
      </w:r>
      <w:hyperlink r:id="rId54" w:anchor="/login" w:history="1">
        <w:r>
          <w:rPr>
            <w:rFonts w:ascii="Times New Roman" w:eastAsia="Times New Roman" w:hAnsi="Times New Roman" w:cs="Times New Roman"/>
          </w:rPr>
          <w:t xml:space="preserve"> </w:t>
        </w:r>
      </w:hyperlink>
      <w:hyperlink r:id="rId55" w:anchor="/login" w:history="1">
        <w:r>
          <w:rPr>
            <w:rFonts w:ascii="Times New Roman" w:eastAsia="Times New Roman" w:hAnsi="Times New Roman" w:cs="Times New Roman"/>
            <w:color w:val="0070C0"/>
            <w:u w:val="single"/>
          </w:rPr>
          <w:t>PRIA iseteeninduskeskkonnas</w:t>
        </w:r>
      </w:hyperlink>
      <w:r>
        <w:rPr>
          <w:rFonts w:ascii="Times New Roman" w:eastAsia="Times New Roman" w:hAnsi="Times New Roman" w:cs="Times New Roman"/>
          <w:color w:val="0070C0"/>
          <w:u w:val="single"/>
        </w:rPr>
        <w:t xml:space="preserve"> </w:t>
      </w:r>
      <w:r w:rsidRPr="00C40A24">
        <w:rPr>
          <w:rFonts w:ascii="Times New Roman" w:eastAsia="Times New Roman" w:hAnsi="Times New Roman" w:cs="Times New Roman"/>
        </w:rPr>
        <w:t>(</w:t>
      </w:r>
      <w:r>
        <w:rPr>
          <w:rFonts w:ascii="Times New Roman" w:eastAsia="Times New Roman" w:hAnsi="Times New Roman" w:cs="Times New Roman"/>
        </w:rPr>
        <w:t>e-PRIA) vastavalt tegevusrühma poolt väljakuulutatud taotluste vastuvõtuajale ja PRIA poolt väljatöötatud e-PRIA kasutusjuhendile jm nõuetele, mis on leitavad</w:t>
      </w:r>
      <w:hyperlink r:id="rId56">
        <w:r>
          <w:rPr>
            <w:rFonts w:ascii="Times New Roman" w:eastAsia="Times New Roman" w:hAnsi="Times New Roman" w:cs="Times New Roman"/>
          </w:rPr>
          <w:t xml:space="preserve"> </w:t>
        </w:r>
      </w:hyperlink>
      <w:hyperlink r:id="rId57">
        <w:r>
          <w:rPr>
            <w:rFonts w:ascii="Times New Roman" w:eastAsia="Times New Roman" w:hAnsi="Times New Roman" w:cs="Times New Roman"/>
            <w:color w:val="0070C0"/>
            <w:u w:val="single"/>
          </w:rPr>
          <w:t>www.saartekalandus.ee</w:t>
        </w:r>
      </w:hyperlink>
      <w:r>
        <w:rPr>
          <w:rFonts w:ascii="Times New Roman" w:eastAsia="Times New Roman" w:hAnsi="Times New Roman" w:cs="Times New Roman"/>
          <w:color w:val="0070C0"/>
        </w:rPr>
        <w:t>.</w:t>
      </w:r>
      <w:r>
        <w:rPr>
          <w:rFonts w:ascii="Times New Roman" w:eastAsia="Times New Roman" w:hAnsi="Times New Roman" w:cs="Times New Roman"/>
        </w:rPr>
        <w:t xml:space="preserve"> Vajadusel aitab ühingu tegevmeeskond taotlejat taotluse ja maksetaotluse sisestamisel.</w:t>
      </w:r>
    </w:p>
    <w:p w14:paraId="6329954C" w14:textId="77777777" w:rsidR="008312AA" w:rsidRDefault="00000000">
      <w:pPr>
        <w:spacing w:line="276" w:lineRule="auto"/>
        <w:rPr>
          <w:rFonts w:ascii="Times New Roman" w:hAnsi="Times New Roman" w:cs="Times New Roman"/>
        </w:rPr>
      </w:pPr>
      <w:r>
        <w:rPr>
          <w:rFonts w:ascii="Times New Roman" w:hAnsi="Times New Roman" w:cs="Times New Roman"/>
        </w:rPr>
        <w:t xml:space="preserve">Täpsemalt on kirjeldatud taotlusvoorude toimumist, projektide hindamist jm sellega seonduvat „MTÜ Saarte Kalandus projektitoetuse taotluste menetlemise ja hindamise korras,“ mille võtab vastu ühingu üldkoosolek ning, mis on kättesaadav ühingu kodulehel </w:t>
      </w:r>
      <w:hyperlink r:id="rId58">
        <w:r>
          <w:rPr>
            <w:rFonts w:ascii="Times New Roman" w:hAnsi="Times New Roman" w:cs="Times New Roman"/>
            <w:color w:val="0070C0"/>
            <w:u w:val="single"/>
          </w:rPr>
          <w:t>www.saartekalandus.ee</w:t>
        </w:r>
      </w:hyperlink>
      <w:r>
        <w:rPr>
          <w:rFonts w:ascii="Times New Roman" w:hAnsi="Times New Roman" w:cs="Times New Roman"/>
          <w:color w:val="0070C0"/>
        </w:rPr>
        <w:t>.</w:t>
      </w:r>
    </w:p>
    <w:p w14:paraId="4D517C32" w14:textId="77777777" w:rsidR="008312AA" w:rsidRDefault="008312AA">
      <w:pPr>
        <w:spacing w:line="276" w:lineRule="auto"/>
        <w:rPr>
          <w:rFonts w:ascii="Times New Roman" w:eastAsia="Times New Roman" w:hAnsi="Times New Roman" w:cs="Times New Roman"/>
        </w:rPr>
      </w:pPr>
    </w:p>
    <w:p w14:paraId="4A16771C" w14:textId="77777777" w:rsidR="008312AA" w:rsidRDefault="00000000" w:rsidP="00541032">
      <w:pPr>
        <w:pStyle w:val="Pealkiri2"/>
        <w:spacing w:line="276" w:lineRule="auto"/>
        <w:ind w:left="0" w:firstLine="0"/>
        <w:jc w:val="left"/>
        <w:rPr>
          <w:rFonts w:ascii="Times New Roman" w:hAnsi="Times New Roman" w:cs="Times New Roman"/>
          <w:color w:val="7030A0"/>
          <w:sz w:val="28"/>
          <w:szCs w:val="28"/>
        </w:rPr>
      </w:pPr>
      <w:bookmarkStart w:id="86" w:name="_heading=h.cu5imni1efor"/>
      <w:bookmarkStart w:id="87" w:name="_Toc157420979"/>
      <w:bookmarkEnd w:id="86"/>
      <w:r>
        <w:rPr>
          <w:rFonts w:ascii="Times New Roman" w:hAnsi="Times New Roman" w:cs="Times New Roman"/>
          <w:color w:val="7030A0"/>
          <w:sz w:val="28"/>
          <w:szCs w:val="28"/>
        </w:rPr>
        <w:t>6.5. Kommunikatsiooniplaan</w:t>
      </w:r>
      <w:bookmarkEnd w:id="87"/>
    </w:p>
    <w:p w14:paraId="5AE44B0E" w14:textId="77777777" w:rsidR="008312AA" w:rsidRDefault="008312AA">
      <w:pPr>
        <w:spacing w:line="276" w:lineRule="auto"/>
        <w:rPr>
          <w:rFonts w:ascii="Times New Roman" w:eastAsia="Times New Roman" w:hAnsi="Times New Roman" w:cs="Times New Roman"/>
        </w:rPr>
      </w:pPr>
    </w:p>
    <w:p w14:paraId="032048C8"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Kalanduse kommunikatsiooniplaan koosneb teavitustegevusest ja tagasiside kogumiseks vajalike kanalite kirjeldusest (joonis 15).</w:t>
      </w:r>
    </w:p>
    <w:p w14:paraId="76E62003" w14:textId="440F0A13"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Kommunikatsiooniplaani elluviimise ja teavitustegevusega tegelevad ühingu palgalised töötajad, tegevjuht ja referent. Teavitustegevus on pidev protsess, mis toimub kogu strateegia perioodi jooksul. Kommunikatsiooniplaani täitmise eest vastutab ühingu juhatus.</w:t>
      </w:r>
    </w:p>
    <w:p w14:paraId="75670B1F" w14:textId="77777777" w:rsidR="008312AA" w:rsidRDefault="00000000">
      <w:bookmarkStart w:id="88" w:name="_heading=h.vm5jujxt2cck"/>
      <w:bookmarkStart w:id="89" w:name="_Toc154050918"/>
      <w:bookmarkEnd w:id="88"/>
      <w:r>
        <w:rPr>
          <w:noProof/>
        </w:rPr>
        <w:lastRenderedPageBreak/>
        <w:drawing>
          <wp:inline distT="0" distB="0" distL="0" distR="0" wp14:anchorId="6138801F" wp14:editId="4F980C36">
            <wp:extent cx="6066790" cy="6057900"/>
            <wp:effectExtent l="0" t="0" r="0" b="0"/>
            <wp:docPr id="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a:picLocks noChangeAspect="1" noChangeArrowheads="1"/>
                    </pic:cNvPicPr>
                  </pic:nvPicPr>
                  <pic:blipFill>
                    <a:blip r:embed="rId59"/>
                    <a:stretch>
                      <a:fillRect/>
                    </a:stretch>
                  </pic:blipFill>
                  <pic:spPr bwMode="auto">
                    <a:xfrm>
                      <a:off x="0" y="0"/>
                      <a:ext cx="6066790" cy="6057900"/>
                    </a:xfrm>
                    <a:prstGeom prst="rect">
                      <a:avLst/>
                    </a:prstGeom>
                  </pic:spPr>
                </pic:pic>
              </a:graphicData>
            </a:graphic>
          </wp:inline>
        </w:drawing>
      </w:r>
      <w:bookmarkStart w:id="90" w:name="_heading=h.5erqndfxwohi"/>
      <w:bookmarkStart w:id="91" w:name="_heading=h.83mzikbzksiq"/>
      <w:bookmarkStart w:id="92" w:name="_heading=h.vmzn69h9txa"/>
      <w:bookmarkStart w:id="93" w:name="_heading=h.tdgzevpf8rwh"/>
      <w:bookmarkStart w:id="94" w:name="_heading=h.wss3owwecty4"/>
      <w:bookmarkStart w:id="95" w:name="_heading=h.jpsmgwmh475m"/>
      <w:bookmarkStart w:id="96" w:name="_heading=h.n44suvgv3h4e"/>
      <w:bookmarkStart w:id="97" w:name="_heading=h.z06671unomos"/>
      <w:bookmarkEnd w:id="89"/>
      <w:bookmarkEnd w:id="90"/>
      <w:bookmarkEnd w:id="91"/>
      <w:bookmarkEnd w:id="92"/>
      <w:bookmarkEnd w:id="93"/>
      <w:bookmarkEnd w:id="94"/>
      <w:bookmarkEnd w:id="95"/>
      <w:bookmarkEnd w:id="96"/>
      <w:bookmarkEnd w:id="97"/>
    </w:p>
    <w:p w14:paraId="0D22A42B" w14:textId="77777777" w:rsidR="008312AA" w:rsidRDefault="00000000">
      <w:pPr>
        <w:rPr>
          <w:rFonts w:ascii="Times New Roman" w:hAnsi="Times New Roman" w:cs="Times New Roman"/>
          <w:i/>
          <w:iCs/>
        </w:rPr>
      </w:pPr>
      <w:r>
        <w:rPr>
          <w:rFonts w:ascii="Times New Roman" w:hAnsi="Times New Roman" w:cs="Times New Roman"/>
          <w:i/>
          <w:iCs/>
        </w:rPr>
        <w:t>Joonis 18: Kommunikatsiooniplaan</w:t>
      </w:r>
    </w:p>
    <w:p w14:paraId="0500BB80" w14:textId="77777777" w:rsidR="008312AA" w:rsidRDefault="008312AA">
      <w:pPr>
        <w:pStyle w:val="Pealkiri2"/>
        <w:spacing w:line="276" w:lineRule="auto"/>
        <w:ind w:left="0" w:firstLine="0"/>
        <w:rPr>
          <w:rFonts w:ascii="Times New Roman" w:eastAsia="Times New Roman" w:hAnsi="Times New Roman" w:cs="Times New Roman"/>
          <w:color w:val="7030A0"/>
          <w:sz w:val="28"/>
          <w:szCs w:val="28"/>
        </w:rPr>
      </w:pPr>
    </w:p>
    <w:p w14:paraId="0825C19F"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98" w:name="_Toc157420980"/>
      <w:r>
        <w:rPr>
          <w:rFonts w:ascii="Times New Roman" w:eastAsia="Times New Roman" w:hAnsi="Times New Roman" w:cs="Times New Roman"/>
          <w:color w:val="7030A0"/>
          <w:sz w:val="28"/>
          <w:szCs w:val="28"/>
        </w:rPr>
        <w:t>6.6. Projektide seire ja strateegia tulemuslikkuse hindamine</w:t>
      </w:r>
      <w:bookmarkEnd w:id="98"/>
    </w:p>
    <w:p w14:paraId="2B819301" w14:textId="77777777" w:rsidR="008312AA" w:rsidRDefault="008312AA">
      <w:pPr>
        <w:spacing w:line="276" w:lineRule="auto"/>
        <w:rPr>
          <w:rFonts w:ascii="Times New Roman" w:eastAsia="Times New Roman" w:hAnsi="Times New Roman" w:cs="Times New Roman"/>
        </w:rPr>
      </w:pPr>
    </w:p>
    <w:p w14:paraId="24F16794"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strateegia seiret ja hindamist korraldatakse järgmiselt:</w:t>
      </w:r>
    </w:p>
    <w:p w14:paraId="5C1F66EA" w14:textId="77777777" w:rsidR="008312AA" w:rsidRDefault="00000000">
      <w:pPr>
        <w:pStyle w:val="Loendilik"/>
        <w:numPr>
          <w:ilvl w:val="0"/>
          <w:numId w:val="2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Taotlusi ja nendes kajastatud indikaatoreid seiratakse jooksvalt. Ühingu tegevjuht annab iga aastaselt juhatusele ja üldkoosolekule ülevaate rahaliste vahendite kasutamisest ja peamiste strateegianäitajate seisust  (aluseks on </w:t>
      </w:r>
      <w:proofErr w:type="spellStart"/>
      <w:r>
        <w:rPr>
          <w:rFonts w:ascii="Times New Roman" w:eastAsia="Times New Roman" w:hAnsi="Times New Roman" w:cs="Times New Roman"/>
        </w:rPr>
        <w:t>PRIAlt</w:t>
      </w:r>
      <w:proofErr w:type="spellEnd"/>
      <w:r>
        <w:rPr>
          <w:rFonts w:ascii="Times New Roman" w:eastAsia="Times New Roman" w:hAnsi="Times New Roman" w:cs="Times New Roman"/>
        </w:rPr>
        <w:t xml:space="preserve"> rahastuse saanud taotluste teave ja kohapealne seire);</w:t>
      </w:r>
    </w:p>
    <w:p w14:paraId="3BBC0A28" w14:textId="77777777" w:rsidR="008312AA" w:rsidRDefault="00000000">
      <w:pPr>
        <w:pStyle w:val="Loendilik"/>
        <w:numPr>
          <w:ilvl w:val="0"/>
          <w:numId w:val="26"/>
        </w:numPr>
        <w:spacing w:line="276" w:lineRule="auto"/>
        <w:rPr>
          <w:rFonts w:ascii="Times New Roman" w:eastAsia="Times New Roman" w:hAnsi="Times New Roman" w:cs="Times New Roman"/>
        </w:rPr>
      </w:pPr>
      <w:r>
        <w:rPr>
          <w:rFonts w:ascii="Times New Roman" w:eastAsia="Times New Roman" w:hAnsi="Times New Roman" w:cs="Times New Roman"/>
        </w:rPr>
        <w:t xml:space="preserve">Kaks korda strateegia elluviimise perioodi jooksul tehakse põhjalikum seire juba ellu viidud projektide tegelike tulemuste ja väljundite hindamiseks. Strateegia seiret korraldab MTÜ Saarte Kalandus juhatus ja tegevusi viivad ellu ühingu palgalised </w:t>
      </w:r>
      <w:r>
        <w:rPr>
          <w:rFonts w:ascii="Times New Roman" w:eastAsia="Times New Roman" w:hAnsi="Times New Roman" w:cs="Times New Roman"/>
        </w:rPr>
        <w:lastRenderedPageBreak/>
        <w:t>töötajad. Algandmetena kasutatakse eelarve täituvust, projektide elluviimise edenemist ja projektide panust strateegia tegevussuundade eesmärkide saavutamisse, tuginedes taotlustes toodud teabele. Strateegia seire on pidev, aruandlusperioodi pikkuseks on üks aasta. Seirearuanne esitatakse MTÜ Saarte Kalandus juhatusele ja üldkoosolekule. Seirearuandest lähtuvalt valmistatakse ette iga- aastased tegevussuundade eelarved ning täpsustatakse vajadusel tegevussuundadele eraldatud eelarvevahendite protsente. Iga- aastane seirearuanne peab sisaldama infot vähemalt strateegia elluviimise sisulise edenemise kohta tegevussuundade lõikes.</w:t>
      </w:r>
    </w:p>
    <w:p w14:paraId="37DE70A1"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Vajadust strateegia uuendamise ja muutmise järgi hinnatakse iga- aastaselt üldkoosolekul lähtuvalt strateegia seire tulemustest. Strateegia hindamist korraldab MTÜ Saarte Kalandus juhatus, elluviijateks on büroo töötajad ja/või </w:t>
      </w:r>
      <w:proofErr w:type="spellStart"/>
      <w:r>
        <w:rPr>
          <w:rFonts w:ascii="Times New Roman" w:eastAsia="Times New Roman" w:hAnsi="Times New Roman" w:cs="Times New Roman"/>
        </w:rPr>
        <w:t>välishindaja</w:t>
      </w:r>
      <w:proofErr w:type="spellEnd"/>
      <w:r>
        <w:rPr>
          <w:rFonts w:ascii="Times New Roman" w:eastAsia="Times New Roman" w:hAnsi="Times New Roman" w:cs="Times New Roman"/>
        </w:rPr>
        <w:t xml:space="preserve">. Algandmetena kasutatakse seirearuandeid ja </w:t>
      </w:r>
      <w:proofErr w:type="spellStart"/>
      <w:r>
        <w:rPr>
          <w:rFonts w:ascii="Times New Roman" w:eastAsia="Times New Roman" w:hAnsi="Times New Roman" w:cs="Times New Roman"/>
        </w:rPr>
        <w:t>elluviidud</w:t>
      </w:r>
      <w:proofErr w:type="spellEnd"/>
      <w:r>
        <w:rPr>
          <w:rFonts w:ascii="Times New Roman" w:eastAsia="Times New Roman" w:hAnsi="Times New Roman" w:cs="Times New Roman"/>
        </w:rPr>
        <w:t xml:space="preserve"> projektide tulemusi ning mõjusid.</w:t>
      </w:r>
    </w:p>
    <w:p w14:paraId="6B93B0F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Strateegia hindamist viiakse läbi kahel korral strateegia perioodi jooksul. Esimene kord 2027. a ja teine kord rahastusperioodi lõpus. Hindamisaruanded esitatakse MTÜ Saarte Kalandus üldkoosolekule ning Regionaal- ja Põllumajandusministeeriumile.</w:t>
      </w:r>
    </w:p>
    <w:p w14:paraId="1BF9FEAE"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Saare maakonna kalanduspiirkonna toetust saanud projektide seire ja kalanduspiirkonna strateegia hindamiseks kogutakse järgmised andmed:</w:t>
      </w:r>
    </w:p>
    <w:p w14:paraId="60AC1D2B" w14:textId="77777777" w:rsidR="008312AA" w:rsidRDefault="008312AA">
      <w:pPr>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6E1B7301" w14:textId="77777777">
        <w:tc>
          <w:tcPr>
            <w:tcW w:w="9062" w:type="dxa"/>
            <w:shd w:val="clear" w:color="auto" w:fill="C2F2F8"/>
          </w:tcPr>
          <w:p w14:paraId="45E7F128" w14:textId="77777777" w:rsidR="008312AA" w:rsidRDefault="00000000">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Tulemusnäitajad</w:t>
            </w:r>
          </w:p>
        </w:tc>
      </w:tr>
    </w:tbl>
    <w:p w14:paraId="2E17E7A6" w14:textId="77777777" w:rsidR="008312AA" w:rsidRDefault="008312AA">
      <w:pPr>
        <w:spacing w:line="276" w:lineRule="auto"/>
        <w:rPr>
          <w:rFonts w:ascii="Times New Roman" w:eastAsia="Times New Roman" w:hAnsi="Times New Roman" w:cs="Times New Roman"/>
        </w:rPr>
      </w:pPr>
    </w:p>
    <w:p w14:paraId="661E8F90"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loodud ja säilitatud töökohtade arv (alusandmed: projektides esitatud  andmed, taotlejate küsitlus);</w:t>
      </w:r>
    </w:p>
    <w:p w14:paraId="3D76735C"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koolitustel osalenute arv sh. meeste ja naiste osakaal (alusandmed: projektides esitatud andmed, taotlejate küsitlus);</w:t>
      </w:r>
    </w:p>
    <w:p w14:paraId="0434676B"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üritustel osalejate arv (alusandmed: taotlejate küsitlus);</w:t>
      </w:r>
    </w:p>
    <w:p w14:paraId="697022ED"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kasutusele võetud taastuvenergia tootmisüksuste arv ja tootmisvõimsus (kW) (alusandmed: projektides esitatud andmed, taotlejate küsitlus);</w:t>
      </w:r>
    </w:p>
    <w:p w14:paraId="0DF8BAA3" w14:textId="77777777" w:rsidR="008312AA" w:rsidRDefault="00000000">
      <w:pPr>
        <w:pStyle w:val="Loendilik"/>
        <w:numPr>
          <w:ilvl w:val="0"/>
          <w:numId w:val="27"/>
        </w:numPr>
        <w:spacing w:line="276" w:lineRule="auto"/>
        <w:rPr>
          <w:rFonts w:ascii="Times New Roman" w:eastAsia="Times New Roman" w:hAnsi="Times New Roman" w:cs="Times New Roman"/>
        </w:rPr>
      </w:pPr>
      <w:r>
        <w:rPr>
          <w:rFonts w:ascii="Times New Roman" w:eastAsia="Times New Roman" w:hAnsi="Times New Roman" w:cs="Times New Roman"/>
        </w:rPr>
        <w:t>looduskeskkonna tingimuste parendamise näitajad: korrastatud veekogu/ rannaala jms pindala (m</w:t>
      </w:r>
      <w:r>
        <w:rPr>
          <w:rFonts w:ascii="Times New Roman" w:eastAsia="Times New Roman" w:hAnsi="Times New Roman" w:cs="Times New Roman"/>
          <w:vertAlign w:val="superscript"/>
        </w:rPr>
        <w:t>2</w:t>
      </w:r>
      <w:r>
        <w:rPr>
          <w:rFonts w:ascii="Times New Roman" w:eastAsia="Times New Roman" w:hAnsi="Times New Roman" w:cs="Times New Roman"/>
        </w:rPr>
        <w:t>); kogutud prügi kogus (kg) (alusandmed: projektides esitatud andmed, taotlejate küsitlus);</w:t>
      </w:r>
    </w:p>
    <w:p w14:paraId="1A1CBF35" w14:textId="77777777" w:rsidR="008312AA" w:rsidRDefault="008312AA">
      <w:pPr>
        <w:pStyle w:val="Loendilik"/>
        <w:spacing w:line="276" w:lineRule="auto"/>
        <w:rPr>
          <w:rFonts w:ascii="Times New Roman" w:eastAsia="Times New Roman" w:hAnsi="Times New Roman" w:cs="Times New Roman"/>
        </w:rPr>
      </w:pPr>
    </w:p>
    <w:p w14:paraId="5BE00C60" w14:textId="77777777" w:rsidR="008312AA" w:rsidRDefault="008312AA">
      <w:pPr>
        <w:pStyle w:val="Loendilik"/>
        <w:spacing w:line="276" w:lineRule="auto"/>
        <w:rPr>
          <w:rFonts w:ascii="Times New Roman" w:eastAsia="Times New Roman" w:hAnsi="Times New Roman" w:cs="Times New Roman"/>
        </w:rPr>
      </w:pPr>
    </w:p>
    <w:p w14:paraId="3D479A96" w14:textId="77777777" w:rsidR="008312AA" w:rsidRDefault="008312AA">
      <w:pPr>
        <w:pStyle w:val="Loendilik"/>
        <w:spacing w:line="276" w:lineRule="auto"/>
        <w:rPr>
          <w:rFonts w:ascii="Times New Roman" w:eastAsia="Times New Roman" w:hAnsi="Times New Roman" w:cs="Times New Roman"/>
        </w:rPr>
      </w:pPr>
    </w:p>
    <w:tbl>
      <w:tblPr>
        <w:tblStyle w:val="Kontuurtabel"/>
        <w:tblW w:w="9062" w:type="dxa"/>
        <w:tblLayout w:type="fixed"/>
        <w:tblLook w:val="04A0" w:firstRow="1" w:lastRow="0" w:firstColumn="1" w:lastColumn="0" w:noHBand="0" w:noVBand="1"/>
      </w:tblPr>
      <w:tblGrid>
        <w:gridCol w:w="9062"/>
      </w:tblGrid>
      <w:tr w:rsidR="008312AA" w14:paraId="1733E6D4" w14:textId="77777777">
        <w:tc>
          <w:tcPr>
            <w:tcW w:w="9062" w:type="dxa"/>
            <w:shd w:val="clear" w:color="auto" w:fill="C2F2F8"/>
          </w:tcPr>
          <w:p w14:paraId="7F0252EA" w14:textId="77777777" w:rsidR="008312AA" w:rsidRDefault="00000000">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Väljundnäitajad</w:t>
            </w:r>
          </w:p>
        </w:tc>
      </w:tr>
    </w:tbl>
    <w:p w14:paraId="3D2B0465" w14:textId="77777777" w:rsidR="008312AA" w:rsidRDefault="008312AA">
      <w:pPr>
        <w:spacing w:line="276" w:lineRule="auto"/>
        <w:rPr>
          <w:rFonts w:ascii="Times New Roman" w:eastAsia="Times New Roman" w:hAnsi="Times New Roman" w:cs="Times New Roman"/>
        </w:rPr>
      </w:pPr>
    </w:p>
    <w:p w14:paraId="36546511"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läbiviidud taotlusvoorude arv – (alusandmed: MTÜ Saarte Kalandus);</w:t>
      </w:r>
    </w:p>
    <w:p w14:paraId="5EB616DD"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 xml:space="preserve">toetust saanud projektide arv tegevussuundade lõikes (alusandmed: MTÜ Saarte Kalandus, PRIA); </w:t>
      </w:r>
    </w:p>
    <w:p w14:paraId="0A980663"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toetuse saajate arv (alusandmed: MTÜ Saarte Kalandus, PRIA);</w:t>
      </w:r>
    </w:p>
    <w:p w14:paraId="0539BF3D"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teostatud investeeringumahud kokku (€) (alusandmed: MTÜ Saarte Kalandus, PRIA);</w:t>
      </w:r>
    </w:p>
    <w:p w14:paraId="136A2E47"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teostatud investeeringumahud (€) tegevussuundade lõikes (alusandmed: MTÜ Saarte Kalandus, PRIA);</w:t>
      </w:r>
    </w:p>
    <w:p w14:paraId="6B7E0639"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innovaatilise väljundi ja nutikamate lahenduste elemendiga projektide arv (alusandmed: projektides esitatud andmed);</w:t>
      </w:r>
    </w:p>
    <w:p w14:paraId="5CC1ADE5" w14:textId="77777777" w:rsidR="008312AA" w:rsidRDefault="00000000">
      <w:pPr>
        <w:pStyle w:val="Loendilik"/>
        <w:numPr>
          <w:ilvl w:val="0"/>
          <w:numId w:val="28"/>
        </w:numPr>
        <w:spacing w:line="276" w:lineRule="auto"/>
        <w:rPr>
          <w:rFonts w:ascii="Times New Roman" w:eastAsia="Times New Roman" w:hAnsi="Times New Roman" w:cs="Times New Roman"/>
        </w:rPr>
      </w:pPr>
      <w:r>
        <w:rPr>
          <w:rFonts w:ascii="Times New Roman" w:eastAsia="Times New Roman" w:hAnsi="Times New Roman" w:cs="Times New Roman"/>
        </w:rPr>
        <w:t>keskkonnaseisundi parendamisele suunatud projektide arv (alusandmed: projektides esitatud andmed).</w:t>
      </w:r>
    </w:p>
    <w:p w14:paraId="0D390755"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Andmete kogumine ja analüüs on järjepidev protsess. Tegevjuhil on vajadusel õigus kaasata projektide seiresse eksperte.</w:t>
      </w:r>
    </w:p>
    <w:p w14:paraId="5FDAF2E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Tegevmeeskond (büroo töötajad) teostab projektide seiret ka läbi paikvaatluste ja projekti elluviimisega seotud dokumentatsiooni kontrollimise. Toetust saanud taotlejal on projektide seire osas kohustus teha koostööd tegevusrühma esindajaga. Kõik tegevused toimuvad projektitoetuse taotlejaga eelneval kokkuleppel. Tegevmeeskonnal ja seiret läbiviival eksperdil on kohustus tagada isikuandmete, ärisaladuste jms kaitse.</w:t>
      </w:r>
    </w:p>
    <w:p w14:paraId="6DA4D257"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tegevmeeskond esitab iga-aastaselt ühingu juhatusele ja üldkoosolekule ülevaate projektide seire andmetest.</w:t>
      </w:r>
      <w:bookmarkStart w:id="99" w:name="_heading=h.peh01qe18sxp"/>
      <w:bookmarkEnd w:id="99"/>
      <w:r>
        <w:rPr>
          <w:rFonts w:ascii="Times New Roman" w:eastAsia="Times New Roman" w:hAnsi="Times New Roman" w:cs="Times New Roman"/>
        </w:rPr>
        <w:t xml:space="preserve"> Vajadust strateegia muutmiseks hindab ühingu juhatus vastavalt seire ja hindamiste tulemustele ning valmistab üldkoosolekule ette põhjendatud ettepaneku strateegia muutmiseks. </w:t>
      </w:r>
    </w:p>
    <w:p w14:paraId="672658AD" w14:textId="77777777" w:rsidR="008312AA" w:rsidRDefault="008312AA">
      <w:pPr>
        <w:spacing w:line="276" w:lineRule="auto"/>
        <w:rPr>
          <w:rFonts w:ascii="Times New Roman" w:eastAsia="Times New Roman" w:hAnsi="Times New Roman" w:cs="Times New Roman"/>
        </w:rPr>
      </w:pPr>
    </w:p>
    <w:p w14:paraId="4524D577"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100" w:name="_Toc157420981"/>
      <w:r>
        <w:rPr>
          <w:rFonts w:ascii="Times New Roman" w:eastAsia="Times New Roman" w:hAnsi="Times New Roman" w:cs="Times New Roman"/>
          <w:color w:val="7030A0"/>
          <w:sz w:val="28"/>
          <w:szCs w:val="28"/>
        </w:rPr>
        <w:t>6.7. Strateegia muutmine</w:t>
      </w:r>
      <w:bookmarkEnd w:id="100"/>
    </w:p>
    <w:p w14:paraId="311E104C" w14:textId="77777777" w:rsidR="008312AA" w:rsidRDefault="008312AA">
      <w:pPr>
        <w:pStyle w:val="Pealkiri2"/>
        <w:spacing w:line="276" w:lineRule="auto"/>
        <w:ind w:left="0" w:firstLine="0"/>
        <w:rPr>
          <w:rFonts w:ascii="Times New Roman" w:eastAsia="Times New Roman" w:hAnsi="Times New Roman" w:cs="Times New Roman"/>
          <w:color w:val="auto"/>
          <w:sz w:val="24"/>
          <w:szCs w:val="24"/>
        </w:rPr>
      </w:pPr>
    </w:p>
    <w:p w14:paraId="6963F3D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Seire tulemusena annab MTÜ juhatus igal aastal üldkoosolekule aru projektide tulemuslikkusest ja mõjust. Selle analüüsi tulemusena teeb juhatus üldkoosolekule ettepanekuid strateegia muutmiseks. Ettepaneku juhatusele strateegia muutmiseks võib teha iga MTÜ liige. Kaks korda strateegia perioodi jooksul tehakse suuremad vahekokkuvõtted ja hindamised strateegia tulemuslikkusest, mis annab ülevaate vajadusest strateegiat muuta, täiendada või kohaldada hetkeoludega vastavaks. Üldkoosoleku heakskiidu saanud muudetud strateegia esitab tegevusrühm PRIA e- teenuse keskkonna kaudu, näidates ära tehtud muudatuse ja selle põhjenduse koos kõikide määruses nõutud dokumentidega. PRIA kontrollib tegevusrühma ja strateegia muudatuse nõuetekohasust ja edastab sellekohase teabe Regionaal- ja Põllumajandusministeeriumile.</w:t>
      </w:r>
    </w:p>
    <w:p w14:paraId="3A8DB2AE" w14:textId="77777777" w:rsidR="008312AA" w:rsidRDefault="00000000">
      <w:pPr>
        <w:spacing w:after="160" w:line="259" w:lineRule="auto"/>
        <w:rPr>
          <w:rFonts w:ascii="Times New Roman" w:eastAsia="Times New Roman" w:hAnsi="Times New Roman" w:cs="Times New Roman"/>
        </w:rPr>
      </w:pPr>
      <w:bookmarkStart w:id="101" w:name="_heading=h.ask4b2mr4nar"/>
      <w:bookmarkEnd w:id="101"/>
      <w:r>
        <w:br w:type="page"/>
      </w:r>
    </w:p>
    <w:p w14:paraId="690C8C8F" w14:textId="77777777" w:rsidR="008312AA" w:rsidRDefault="00000000" w:rsidP="00541032">
      <w:pPr>
        <w:pStyle w:val="Pealkiri1"/>
        <w:spacing w:before="0" w:line="276" w:lineRule="auto"/>
        <w:ind w:left="0" w:firstLine="0"/>
        <w:jc w:val="left"/>
        <w:rPr>
          <w:rFonts w:ascii="Times New Roman" w:eastAsia="Times New Roman" w:hAnsi="Times New Roman" w:cs="Times New Roman"/>
          <w:color w:val="0070C0"/>
        </w:rPr>
      </w:pPr>
      <w:bookmarkStart w:id="102" w:name="_Toc157420982"/>
      <w:r>
        <w:rPr>
          <w:rFonts w:ascii="Times New Roman" w:eastAsia="Times New Roman" w:hAnsi="Times New Roman" w:cs="Times New Roman"/>
          <w:color w:val="0070C0"/>
        </w:rPr>
        <w:lastRenderedPageBreak/>
        <w:t>7. Rahastamiskava</w:t>
      </w:r>
      <w:bookmarkEnd w:id="102"/>
    </w:p>
    <w:p w14:paraId="21793181" w14:textId="77777777" w:rsidR="008312AA" w:rsidRDefault="008312AA"/>
    <w:p w14:paraId="416CD663"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Euroopa Merendus-, Kalandus- ja Vesiviljelusfondi rakenduskava 2021–2027 meetme määruse „Perioodi 2021–2027 kogukonna juhitud kohaliku arengu toetus alusel on Saaremaa kalanduspiirkonna projektitoetusteks ettenähtud eelarvevahendite piirmäär 3 538 977,22 € ja kohaliku tegevusrühma toetuseks ettenähtud eelarvevahendite piirmäär 707 795,44 €.</w:t>
      </w:r>
    </w:p>
    <w:p w14:paraId="07697A78" w14:textId="77777777" w:rsidR="008312AA" w:rsidRDefault="008312AA">
      <w:pPr>
        <w:pStyle w:val="Pealkiri2"/>
        <w:spacing w:line="276" w:lineRule="auto"/>
        <w:ind w:left="0" w:firstLine="0"/>
        <w:rPr>
          <w:rFonts w:ascii="Times New Roman" w:eastAsia="Times New Roman" w:hAnsi="Times New Roman" w:cs="Times New Roman"/>
          <w:color w:val="auto"/>
          <w:sz w:val="24"/>
          <w:szCs w:val="24"/>
        </w:rPr>
      </w:pPr>
      <w:bookmarkStart w:id="103" w:name="_heading=h.apio1kobd2r1"/>
      <w:bookmarkEnd w:id="103"/>
    </w:p>
    <w:p w14:paraId="748C13A6" w14:textId="77777777" w:rsidR="008312AA" w:rsidRDefault="00000000" w:rsidP="00541032">
      <w:pPr>
        <w:pStyle w:val="Pealkiri2"/>
        <w:spacing w:line="276" w:lineRule="auto"/>
        <w:ind w:left="0" w:firstLine="0"/>
        <w:jc w:val="left"/>
        <w:rPr>
          <w:rFonts w:ascii="Times New Roman" w:eastAsia="Times New Roman" w:hAnsi="Times New Roman" w:cs="Times New Roman"/>
          <w:color w:val="7030A0"/>
          <w:sz w:val="28"/>
          <w:szCs w:val="28"/>
        </w:rPr>
      </w:pPr>
      <w:bookmarkStart w:id="104" w:name="_Toc157420983"/>
      <w:r>
        <w:rPr>
          <w:rFonts w:ascii="Times New Roman" w:eastAsia="Times New Roman" w:hAnsi="Times New Roman" w:cs="Times New Roman"/>
          <w:color w:val="7030A0"/>
          <w:sz w:val="28"/>
          <w:szCs w:val="28"/>
        </w:rPr>
        <w:t>7.1. Tegevussuundade eelarve</w:t>
      </w:r>
      <w:bookmarkEnd w:id="104"/>
    </w:p>
    <w:p w14:paraId="3CDAC123" w14:textId="77777777" w:rsidR="008312AA" w:rsidRDefault="008312AA"/>
    <w:p w14:paraId="2F30430B"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Kalanduspiirkonna kohaliku arengu strateegia tegevussuundade vahelise eelarve jaotamisel on lähtutud eelmiste perioodide kogemustest ja strateegia koostamise käigus kogutud informatsioonist.  MTÜ Saarte Kalandus rahastamiskava hõlmab kuute tegevussuunda.</w:t>
      </w:r>
    </w:p>
    <w:p w14:paraId="6988C2FA"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Vee-elusressursside </w:t>
      </w:r>
      <w:proofErr w:type="spellStart"/>
      <w:r>
        <w:rPr>
          <w:rFonts w:ascii="Times New Roman" w:eastAsia="Times New Roman" w:hAnsi="Times New Roman" w:cs="Times New Roman"/>
        </w:rPr>
        <w:t>väärindamine</w:t>
      </w:r>
      <w:proofErr w:type="spellEnd"/>
      <w:r>
        <w:rPr>
          <w:rFonts w:ascii="Times New Roman" w:eastAsia="Times New Roman" w:hAnsi="Times New Roman" w:cs="Times New Roman"/>
        </w:rPr>
        <w:t xml:space="preserve"> ja otseturustamine on jätkuvalt piirkonnale oluline valdkond kuna piirkonna rannakalurite sissetulekud vajavad tõstmist,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ja otseturustamisega seotud  vahendite, seadmete, teadmiste ja oskuste parendamine aitab kaasa lisasissetulekute saamisele ja suurendab konkurentsivõimet kalandustoodete turul.</w:t>
      </w:r>
    </w:p>
    <w:p w14:paraId="3EACE3B0" w14:textId="77777777" w:rsidR="008312AA" w:rsidRDefault="008312AA">
      <w:pPr>
        <w:pStyle w:val="Loendilik"/>
        <w:spacing w:after="0" w:line="276" w:lineRule="auto"/>
        <w:ind w:left="1440"/>
        <w:rPr>
          <w:rFonts w:ascii="Times New Roman" w:eastAsia="Times New Roman" w:hAnsi="Times New Roman" w:cs="Times New Roman"/>
        </w:rPr>
      </w:pPr>
    </w:p>
    <w:p w14:paraId="09A79BE0"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Sadamate taristu parendamine ja pakutavate teenuste mitmekesistamise tegevussuunast toetatakse ainult strateegia sadamate nimistusse kantud kalasadamates tehtavaid investeeringuid. Jätkusuutlik kalasadam peab olema suuteline end ise ära majandama, seepärast on oluline toetada investeeringuid tegevustesse, mis sellele kaasa aitavad.</w:t>
      </w:r>
    </w:p>
    <w:p w14:paraId="7E13980B" w14:textId="77777777" w:rsidR="008312AA" w:rsidRDefault="008312AA">
      <w:pPr>
        <w:spacing w:after="0" w:line="276" w:lineRule="auto"/>
        <w:rPr>
          <w:rFonts w:ascii="Times New Roman" w:eastAsia="Times New Roman" w:hAnsi="Times New Roman" w:cs="Times New Roman"/>
        </w:rPr>
      </w:pPr>
    </w:p>
    <w:p w14:paraId="50BCDCA0"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Jätkuvalt on olulisel kohal kaluri tegevuste mitmekesistamine. Ainult kalapüügist elatuvate kalurite hulk on kalanduspiirkonnas väga väike. See tähendab, et lisaks kalapüügile vajatakse aastaringsete sissetulekute kindlustamiseks lisategevusalasid, tagamaks selle, et kalur ei lahkuks oma elukohast ning jääks seotuks kalandusega.</w:t>
      </w:r>
    </w:p>
    <w:p w14:paraId="7868BF10" w14:textId="77777777" w:rsidR="008312AA" w:rsidRDefault="008312AA">
      <w:pPr>
        <w:pStyle w:val="Loendilik"/>
        <w:spacing w:after="0" w:line="276" w:lineRule="auto"/>
        <w:ind w:left="1440"/>
        <w:rPr>
          <w:rFonts w:ascii="Times New Roman" w:eastAsia="Times New Roman" w:hAnsi="Times New Roman" w:cs="Times New Roman"/>
        </w:rPr>
      </w:pPr>
    </w:p>
    <w:p w14:paraId="6576B9F4"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Looduskeskkonna tingimuste parendamine on olnud olulisel kohal ka eelmisel rahastusperioodil, mil investeeriti </w:t>
      </w:r>
      <w:proofErr w:type="spellStart"/>
      <w:r>
        <w:rPr>
          <w:rFonts w:ascii="Times New Roman" w:eastAsia="Times New Roman" w:hAnsi="Times New Roman" w:cs="Times New Roman"/>
        </w:rPr>
        <w:t>kolemute</w:t>
      </w:r>
      <w:proofErr w:type="spellEnd"/>
      <w:r>
        <w:rPr>
          <w:rFonts w:ascii="Times New Roman" w:eastAsia="Times New Roman" w:hAnsi="Times New Roman" w:cs="Times New Roman"/>
        </w:rPr>
        <w:t xml:space="preserve"> parendamisse ja kalavarude jätkusuutlikkuse tagamisse 229 149 €.  Saaremaa ranna- ja kalanduskogukondadele on väga oluline stabiilse ja jätkusuutliku kalavaru olemasolu ja tegevussuunda panustamine on keskkonnatingimuste parendamise seisukohalt väga oluline.</w:t>
      </w:r>
    </w:p>
    <w:p w14:paraId="16C8AA46" w14:textId="77777777" w:rsidR="008312AA" w:rsidRDefault="008312AA">
      <w:pPr>
        <w:spacing w:after="0" w:line="276" w:lineRule="auto"/>
        <w:rPr>
          <w:rFonts w:ascii="Times New Roman" w:eastAsia="Times New Roman" w:hAnsi="Times New Roman" w:cs="Times New Roman"/>
        </w:rPr>
      </w:pPr>
    </w:p>
    <w:p w14:paraId="2B38F0BC" w14:textId="77777777" w:rsidR="008312AA" w:rsidRDefault="00000000">
      <w:pPr>
        <w:pStyle w:val="Loendilik"/>
        <w:numPr>
          <w:ilvl w:val="0"/>
          <w:numId w:val="17"/>
        </w:numPr>
        <w:spacing w:after="0" w:line="276" w:lineRule="auto"/>
        <w:rPr>
          <w:rFonts w:ascii="Times New Roman" w:eastAsia="Times New Roman" w:hAnsi="Times New Roman" w:cs="Times New Roman"/>
        </w:rPr>
      </w:pPr>
      <w:r>
        <w:rPr>
          <w:rFonts w:ascii="Times New Roman" w:eastAsia="Times New Roman" w:hAnsi="Times New Roman" w:cs="Times New Roman"/>
        </w:rPr>
        <w:t>Kalanduse- ja merenduse kultuuripärandi edendamise tegevussuund  keskendub eelkõige kalanduse ja merenduse valdkonna populariseerimisele, toetab ranna- ja kalanduskogukondade identiteedi tugevdamist ning kalandus- ja merendustraditsioonide edendamist ja säilitamist.</w:t>
      </w:r>
    </w:p>
    <w:p w14:paraId="427823B4" w14:textId="77777777" w:rsidR="008312AA" w:rsidRDefault="008312AA">
      <w:pPr>
        <w:pStyle w:val="Loendilik"/>
        <w:spacing w:after="0" w:line="276" w:lineRule="auto"/>
        <w:ind w:left="1440"/>
        <w:rPr>
          <w:rFonts w:ascii="Times New Roman" w:eastAsia="Times New Roman" w:hAnsi="Times New Roman" w:cs="Times New Roman"/>
        </w:rPr>
      </w:pPr>
    </w:p>
    <w:p w14:paraId="15FE8E34" w14:textId="77777777" w:rsidR="008312AA" w:rsidRDefault="00000000">
      <w:pPr>
        <w:pStyle w:val="Loendilik"/>
        <w:numPr>
          <w:ilvl w:val="0"/>
          <w:numId w:val="17"/>
        </w:num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xml:space="preserve">Täiesti uue tegevussuunana on juurde tulnud kalurite teadmiste ja oskuste edendamine, mis on kalanduspiirkonna jätkusuutliku tegevuse tagamiseks väga oluline kuna haritud, uuendusmeelne ja ettevõtlik kalurkond on selleks võtmesõnaks, et </w:t>
      </w:r>
      <w:proofErr w:type="spellStart"/>
      <w:r>
        <w:rPr>
          <w:rFonts w:ascii="Times New Roman" w:eastAsia="Times New Roman" w:hAnsi="Times New Roman" w:cs="Times New Roman"/>
        </w:rPr>
        <w:t>rannakalanduse</w:t>
      </w:r>
      <w:proofErr w:type="spellEnd"/>
      <w:r>
        <w:rPr>
          <w:rFonts w:ascii="Times New Roman" w:eastAsia="Times New Roman" w:hAnsi="Times New Roman" w:cs="Times New Roman"/>
        </w:rPr>
        <w:t xml:space="preserve"> traditsioonid piirkonnas ei hääbuks.</w:t>
      </w:r>
    </w:p>
    <w:p w14:paraId="61A2244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Allolevas tabelis on ära toodud rahaliste vahendite jaotus kohaliku arengu strateegia tegevussuundade lõikes (protsent kogueelarvest ja eelarve summa).</w:t>
      </w:r>
    </w:p>
    <w:p w14:paraId="24559068" w14:textId="77777777" w:rsidR="008312AA" w:rsidRDefault="008312AA">
      <w:pPr>
        <w:spacing w:line="276" w:lineRule="auto"/>
        <w:rPr>
          <w:rFonts w:ascii="Times New Roman" w:eastAsia="Times New Roman" w:hAnsi="Times New Roman" w:cs="Times New Roman"/>
        </w:rPr>
      </w:pPr>
    </w:p>
    <w:p w14:paraId="0191A181" w14:textId="77777777" w:rsidR="008312AA" w:rsidRDefault="00000000">
      <w:pPr>
        <w:spacing w:line="276" w:lineRule="auto"/>
        <w:rPr>
          <w:rFonts w:ascii="Times New Roman" w:eastAsia="Times New Roman" w:hAnsi="Times New Roman" w:cs="Times New Roman"/>
          <w:i/>
          <w:iCs/>
        </w:rPr>
      </w:pPr>
      <w:r>
        <w:rPr>
          <w:rFonts w:ascii="Times New Roman" w:eastAsia="Times New Roman" w:hAnsi="Times New Roman" w:cs="Times New Roman"/>
          <w:i/>
          <w:iCs/>
        </w:rPr>
        <w:t xml:space="preserve">Tabel 8. Rahaliste vahendite jaotus strateegia tegevussuundade lõikes </w:t>
      </w:r>
    </w:p>
    <w:tbl>
      <w:tblPr>
        <w:tblW w:w="9000" w:type="dxa"/>
        <w:tblLayout w:type="fixed"/>
        <w:tblCellMar>
          <w:top w:w="100" w:type="dxa"/>
          <w:left w:w="100" w:type="dxa"/>
          <w:bottom w:w="100" w:type="dxa"/>
          <w:right w:w="100" w:type="dxa"/>
        </w:tblCellMar>
        <w:tblLook w:val="0600" w:firstRow="0" w:lastRow="0" w:firstColumn="0" w:lastColumn="0" w:noHBand="1" w:noVBand="1"/>
      </w:tblPr>
      <w:tblGrid>
        <w:gridCol w:w="4095"/>
        <w:gridCol w:w="2009"/>
        <w:gridCol w:w="2896"/>
      </w:tblGrid>
      <w:tr w:rsidR="008312AA" w14:paraId="50F05262" w14:textId="77777777">
        <w:tc>
          <w:tcPr>
            <w:tcW w:w="4095" w:type="dxa"/>
            <w:tcBorders>
              <w:top w:val="single" w:sz="8" w:space="0" w:color="000000"/>
              <w:left w:val="single" w:sz="8" w:space="0" w:color="000000"/>
              <w:bottom w:val="single" w:sz="8" w:space="0" w:color="000000"/>
              <w:right w:val="single" w:sz="8" w:space="0" w:color="000000"/>
            </w:tcBorders>
            <w:shd w:val="clear" w:color="auto" w:fill="C2F2F8"/>
          </w:tcPr>
          <w:p w14:paraId="4AED7C6C" w14:textId="77777777" w:rsidR="008312AA" w:rsidRDefault="00000000">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Tegevussuund</w:t>
            </w:r>
          </w:p>
        </w:tc>
        <w:tc>
          <w:tcPr>
            <w:tcW w:w="2009" w:type="dxa"/>
            <w:tcBorders>
              <w:top w:val="single" w:sz="8" w:space="0" w:color="000000"/>
              <w:left w:val="single" w:sz="8" w:space="0" w:color="000000"/>
              <w:bottom w:val="single" w:sz="8" w:space="0" w:color="000000"/>
              <w:right w:val="single" w:sz="8" w:space="0" w:color="000000"/>
            </w:tcBorders>
            <w:shd w:val="clear" w:color="auto" w:fill="C2F2F8"/>
          </w:tcPr>
          <w:p w14:paraId="13CB1BAC" w14:textId="77777777" w:rsidR="008312AA" w:rsidRDefault="00000000">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Eelarve proportsioon %</w:t>
            </w:r>
          </w:p>
        </w:tc>
        <w:tc>
          <w:tcPr>
            <w:tcW w:w="2896" w:type="dxa"/>
            <w:tcBorders>
              <w:top w:val="single" w:sz="8" w:space="0" w:color="000000"/>
              <w:left w:val="single" w:sz="8" w:space="0" w:color="000000"/>
              <w:bottom w:val="single" w:sz="8" w:space="0" w:color="000000"/>
              <w:right w:val="single" w:sz="8" w:space="0" w:color="000000"/>
            </w:tcBorders>
            <w:shd w:val="clear" w:color="auto" w:fill="C2F2F8"/>
          </w:tcPr>
          <w:p w14:paraId="71F14BA8" w14:textId="77777777" w:rsidR="008312AA" w:rsidRDefault="00000000">
            <w:pPr>
              <w:widowControl w:val="0"/>
              <w:spacing w:after="0" w:line="276" w:lineRule="auto"/>
              <w:rPr>
                <w:rFonts w:ascii="Times New Roman" w:eastAsia="Times New Roman" w:hAnsi="Times New Roman" w:cs="Times New Roman"/>
                <w:b/>
              </w:rPr>
            </w:pPr>
            <w:r>
              <w:rPr>
                <w:rFonts w:ascii="Times New Roman" w:eastAsia="Times New Roman" w:hAnsi="Times New Roman" w:cs="Times New Roman"/>
                <w:b/>
              </w:rPr>
              <w:t>Eelarve suurus €</w:t>
            </w:r>
          </w:p>
        </w:tc>
      </w:tr>
      <w:tr w:rsidR="008312AA" w14:paraId="4D7F31C9"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2E95583D"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 xml:space="preserve">Vee-elusressursside </w:t>
            </w:r>
            <w:proofErr w:type="spellStart"/>
            <w:r>
              <w:rPr>
                <w:rFonts w:ascii="Times New Roman" w:eastAsia="Times New Roman" w:hAnsi="Times New Roman" w:cs="Times New Roman"/>
              </w:rPr>
              <w:t>väärindamine</w:t>
            </w:r>
            <w:proofErr w:type="spellEnd"/>
            <w:r>
              <w:rPr>
                <w:rFonts w:ascii="Times New Roman" w:eastAsia="Times New Roman" w:hAnsi="Times New Roman" w:cs="Times New Roman"/>
              </w:rPr>
              <w:t xml:space="preserve"> ja otseturustamine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3266DF72"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2F96F69A"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353 897,72</w:t>
            </w:r>
          </w:p>
        </w:tc>
      </w:tr>
      <w:tr w:rsidR="008312AA" w14:paraId="565B1FC1"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23A5BC92"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Sadamate taristu parendamine ja pakutavate teenuste mitmekesistamine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283FEAA2"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20%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3719082B"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707 795,44</w:t>
            </w:r>
          </w:p>
        </w:tc>
      </w:tr>
      <w:tr w:rsidR="008312AA" w14:paraId="3D009574"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00DE098E"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Majandustegevuse mitmekesistamine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61214947"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55050794"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353 897,72</w:t>
            </w:r>
          </w:p>
        </w:tc>
      </w:tr>
      <w:tr w:rsidR="008312AA" w14:paraId="4D885469"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5A725111"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Looduskeskkonna tingimuste parendamine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6E9CCF6A" w14:textId="54378309" w:rsidR="008312AA" w:rsidRDefault="00CB43F1">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10CE1856" w14:textId="5F2FA33D" w:rsidR="008312AA" w:rsidRDefault="00CB43F1">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353 897,72</w:t>
            </w:r>
          </w:p>
        </w:tc>
      </w:tr>
      <w:tr w:rsidR="008312AA" w14:paraId="2F08A1F7"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021B30B1"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Kalanduse- ja merenduse kultuuripärandi edendamine kalanduspiirkonnas</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6827A308" w14:textId="1B6A602C"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2</w:t>
            </w:r>
            <w:r w:rsidR="00CB43F1">
              <w:rPr>
                <w:rFonts w:ascii="Times New Roman" w:eastAsia="Times New Roman" w:hAnsi="Times New Roman" w:cs="Times New Roman"/>
              </w:rPr>
              <w:t>0</w:t>
            </w:r>
            <w:r>
              <w:rPr>
                <w:rFonts w:ascii="Times New Roman" w:eastAsia="Times New Roman" w:hAnsi="Times New Roman" w:cs="Times New Roman"/>
              </w:rPr>
              <w:t>%</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53A6549B" w14:textId="4BF0A9EF" w:rsidR="008312AA" w:rsidRDefault="00CB43F1">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1 415 590,89</w:t>
            </w:r>
          </w:p>
        </w:tc>
      </w:tr>
      <w:tr w:rsidR="008312AA" w14:paraId="079E0510" w14:textId="77777777">
        <w:tc>
          <w:tcPr>
            <w:tcW w:w="4095" w:type="dxa"/>
            <w:tcBorders>
              <w:top w:val="single" w:sz="8" w:space="0" w:color="000000"/>
              <w:left w:val="single" w:sz="8" w:space="0" w:color="000000"/>
              <w:bottom w:val="single" w:sz="8" w:space="0" w:color="000000"/>
              <w:right w:val="single" w:sz="8" w:space="0" w:color="000000"/>
            </w:tcBorders>
            <w:shd w:val="clear" w:color="auto" w:fill="auto"/>
          </w:tcPr>
          <w:p w14:paraId="793A4A88"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Kalurite teadmiste ja oskuste edendamine</w:t>
            </w:r>
          </w:p>
        </w:tc>
        <w:tc>
          <w:tcPr>
            <w:tcW w:w="2009" w:type="dxa"/>
            <w:tcBorders>
              <w:top w:val="single" w:sz="8" w:space="0" w:color="000000"/>
              <w:left w:val="single" w:sz="8" w:space="0" w:color="000000"/>
              <w:bottom w:val="single" w:sz="8" w:space="0" w:color="000000"/>
              <w:right w:val="single" w:sz="8" w:space="0" w:color="000000"/>
            </w:tcBorders>
            <w:shd w:val="clear" w:color="auto" w:fill="auto"/>
          </w:tcPr>
          <w:p w14:paraId="4C4A4063"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10%</w:t>
            </w:r>
          </w:p>
        </w:tc>
        <w:tc>
          <w:tcPr>
            <w:tcW w:w="2896" w:type="dxa"/>
            <w:tcBorders>
              <w:top w:val="single" w:sz="8" w:space="0" w:color="000000"/>
              <w:left w:val="single" w:sz="8" w:space="0" w:color="000000"/>
              <w:bottom w:val="single" w:sz="8" w:space="0" w:color="000000"/>
              <w:right w:val="single" w:sz="8" w:space="0" w:color="000000"/>
            </w:tcBorders>
            <w:shd w:val="clear" w:color="auto" w:fill="auto"/>
          </w:tcPr>
          <w:p w14:paraId="5794EEE7" w14:textId="77777777" w:rsidR="008312AA" w:rsidRDefault="00000000">
            <w:pPr>
              <w:widowControl w:val="0"/>
              <w:spacing w:after="0" w:line="276" w:lineRule="auto"/>
              <w:rPr>
                <w:rFonts w:ascii="Times New Roman" w:eastAsia="Times New Roman" w:hAnsi="Times New Roman" w:cs="Times New Roman"/>
              </w:rPr>
            </w:pPr>
            <w:r>
              <w:rPr>
                <w:rFonts w:ascii="Times New Roman" w:eastAsia="Times New Roman" w:hAnsi="Times New Roman" w:cs="Times New Roman"/>
              </w:rPr>
              <w:t>353 897,72</w:t>
            </w:r>
          </w:p>
        </w:tc>
      </w:tr>
    </w:tbl>
    <w:p w14:paraId="5434F4ED" w14:textId="77777777" w:rsidR="008312AA" w:rsidRDefault="008312AA">
      <w:pPr>
        <w:spacing w:line="276" w:lineRule="auto"/>
        <w:rPr>
          <w:rFonts w:ascii="Times New Roman" w:eastAsia="Times New Roman" w:hAnsi="Times New Roman" w:cs="Times New Roman"/>
        </w:rPr>
      </w:pPr>
    </w:p>
    <w:p w14:paraId="0EA5183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Rahastamiskava muudetakse üldkoosoleku otsusega ja muudatusettepanek esitatakse </w:t>
      </w:r>
      <w:proofErr w:type="spellStart"/>
      <w:r>
        <w:rPr>
          <w:rFonts w:ascii="Times New Roman" w:eastAsia="Times New Roman" w:hAnsi="Times New Roman" w:cs="Times New Roman"/>
        </w:rPr>
        <w:t>PRIAle</w:t>
      </w:r>
      <w:proofErr w:type="spellEnd"/>
      <w:r>
        <w:rPr>
          <w:rFonts w:ascii="Times New Roman" w:eastAsia="Times New Roman" w:hAnsi="Times New Roman" w:cs="Times New Roman"/>
        </w:rPr>
        <w:t xml:space="preserve"> kontrollimiseks, kes edastab muudatusettepaneku olenevalt eelarve muutmise protsendist Regionaal - ja Põllumajandusministeeriumile kinnitamiseks.</w:t>
      </w:r>
    </w:p>
    <w:p w14:paraId="6E9DDF72"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 xml:space="preserve">Taotlusvoorude iga- aastased tegevussuundade eelarved ja taotlusvoorude toimumise ajad kuu täpsusega kinnitatakse üldkoosoleku otsusega ja esitatakse </w:t>
      </w:r>
      <w:proofErr w:type="spellStart"/>
      <w:r>
        <w:rPr>
          <w:rFonts w:ascii="Times New Roman" w:eastAsia="Times New Roman" w:hAnsi="Times New Roman" w:cs="Times New Roman"/>
        </w:rPr>
        <w:t>PRIAle</w:t>
      </w:r>
      <w:proofErr w:type="spellEnd"/>
      <w:r>
        <w:rPr>
          <w:rFonts w:ascii="Times New Roman" w:eastAsia="Times New Roman" w:hAnsi="Times New Roman" w:cs="Times New Roman"/>
        </w:rPr>
        <w:t xml:space="preserve"> enne 30. novembrit. Kohaliku arengu strateegia rahastamiskavasse tegevussuundade iga- aastaseid eelarveid ei kanta.</w:t>
      </w:r>
    </w:p>
    <w:p w14:paraId="39921BD7" w14:textId="77777777" w:rsidR="008312AA" w:rsidRDefault="00000000">
      <w:pPr>
        <w:spacing w:after="160" w:line="259" w:lineRule="auto"/>
        <w:rPr>
          <w:rFonts w:ascii="Times New Roman" w:hAnsi="Times New Roman" w:cs="Times New Roman"/>
          <w:sz w:val="28"/>
          <w:szCs w:val="28"/>
        </w:rPr>
      </w:pPr>
      <w:bookmarkStart w:id="105" w:name="_heading=h.slox46p1xijn"/>
      <w:bookmarkEnd w:id="105"/>
      <w:r>
        <w:br w:type="page"/>
      </w:r>
    </w:p>
    <w:p w14:paraId="3542D1A9" w14:textId="77777777" w:rsidR="008312AA" w:rsidRDefault="00000000" w:rsidP="00541032">
      <w:pPr>
        <w:pStyle w:val="Pealkiri2"/>
        <w:spacing w:before="0" w:line="276" w:lineRule="auto"/>
        <w:ind w:left="0" w:firstLine="0"/>
        <w:jc w:val="left"/>
        <w:rPr>
          <w:rFonts w:ascii="Times New Roman" w:hAnsi="Times New Roman" w:cs="Times New Roman"/>
          <w:color w:val="7030A0"/>
          <w:sz w:val="28"/>
          <w:szCs w:val="28"/>
        </w:rPr>
      </w:pPr>
      <w:bookmarkStart w:id="106" w:name="_Toc157420984"/>
      <w:r>
        <w:rPr>
          <w:rFonts w:ascii="Times New Roman" w:hAnsi="Times New Roman" w:cs="Times New Roman"/>
          <w:color w:val="7030A0"/>
          <w:sz w:val="28"/>
          <w:szCs w:val="28"/>
        </w:rPr>
        <w:lastRenderedPageBreak/>
        <w:t>7.2. Tegevusrühma eelarve</w:t>
      </w:r>
      <w:bookmarkEnd w:id="106"/>
    </w:p>
    <w:p w14:paraId="5F720FF7" w14:textId="77777777" w:rsidR="008312AA" w:rsidRDefault="008312AA">
      <w:pPr>
        <w:spacing w:line="276" w:lineRule="auto"/>
        <w:rPr>
          <w:rFonts w:ascii="Times New Roman" w:hAnsi="Times New Roman" w:cs="Times New Roman"/>
        </w:rPr>
      </w:pPr>
    </w:p>
    <w:p w14:paraId="35DB7330"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MTÜ Saarte Kalandus kui tegevusrühma toetuseks ettenähtud eelarvevahendite piirmäär on 707 795,44 €.</w:t>
      </w:r>
    </w:p>
    <w:p w14:paraId="3EDEC6F6"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Kohaliku tegevusrühma toetust halduskulude katmiseks makstakse tegevusrühmadele ühikuhinnana lihtsustatud kulumeetodi alusel, mis on sätestatud Euroopa Parlamendi ja nõukogu määruse (EL) 2021/1060 artikli 53 lõike 1 punktis b sätestatud ühikuhinna alusel. See tähendab, et MTÜ Saarte Kalandus büroole makstakse jooksvateks kulude katteks  0,2 € iga projektitoetuse taotlejale välja makstud euro kohta.</w:t>
      </w:r>
    </w:p>
    <w:p w14:paraId="6E769C21" w14:textId="77777777" w:rsidR="008312AA" w:rsidRDefault="00000000">
      <w:pPr>
        <w:spacing w:after="160" w:line="259" w:lineRule="auto"/>
        <w:rPr>
          <w:rFonts w:ascii="Times New Roman" w:eastAsia="Times New Roman" w:hAnsi="Times New Roman" w:cs="Times New Roman"/>
        </w:rPr>
      </w:pPr>
      <w:r>
        <w:br w:type="page"/>
      </w:r>
    </w:p>
    <w:p w14:paraId="5750805E" w14:textId="77777777" w:rsidR="008312AA" w:rsidRDefault="00000000" w:rsidP="00541032">
      <w:pPr>
        <w:pStyle w:val="Pealkiri1"/>
        <w:spacing w:before="0"/>
        <w:ind w:left="0" w:firstLine="0"/>
        <w:jc w:val="left"/>
        <w:rPr>
          <w:rFonts w:ascii="Times New Roman" w:hAnsi="Times New Roman" w:cs="Times New Roman"/>
        </w:rPr>
      </w:pPr>
      <w:bookmarkStart w:id="107" w:name="_Toc157420985"/>
      <w:r>
        <w:rPr>
          <w:rFonts w:ascii="Times New Roman" w:hAnsi="Times New Roman" w:cs="Times New Roman"/>
        </w:rPr>
        <w:lastRenderedPageBreak/>
        <w:t>Kasutatud allikad</w:t>
      </w:r>
      <w:bookmarkEnd w:id="107"/>
    </w:p>
    <w:p w14:paraId="46598305" w14:textId="77777777" w:rsidR="008312AA" w:rsidRDefault="00000000">
      <w:pPr>
        <w:pStyle w:val="Loendilik"/>
        <w:numPr>
          <w:ilvl w:val="0"/>
          <w:numId w:val="21"/>
        </w:numPr>
        <w:spacing w:after="160" w:line="259" w:lineRule="auto"/>
        <w:jc w:val="left"/>
        <w:rPr>
          <w:rFonts w:ascii="Times New Roman" w:hAnsi="Times New Roman" w:cs="Times New Roman"/>
          <w:color w:val="1155CC"/>
          <w:u w:val="single"/>
        </w:rPr>
      </w:pPr>
      <w:r>
        <w:rPr>
          <w:rFonts w:ascii="Times New Roman" w:hAnsi="Times New Roman" w:cs="Times New Roman"/>
        </w:rPr>
        <w:t xml:space="preserve">Statistikaameti piirkondlik statistika: </w:t>
      </w:r>
      <w:hyperlink r:id="rId60">
        <w:r>
          <w:rPr>
            <w:rStyle w:val="Hperlink"/>
            <w:rFonts w:ascii="Times New Roman" w:hAnsi="Times New Roman" w:cs="Times New Roman"/>
            <w:color w:val="0070C0"/>
          </w:rPr>
          <w:t>https://juhtimislauad.stat.ee/et/piirkondlik-statistika-3/saare-maakond-68</w:t>
        </w:r>
      </w:hyperlink>
    </w:p>
    <w:p w14:paraId="73042DBB"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Saare maakonna arengustrateegia 2019 –</w:t>
      </w:r>
      <w:r>
        <w:rPr>
          <w:rFonts w:ascii="Times New Roman" w:hAnsi="Times New Roman" w:cs="Times New Roman"/>
          <w:color w:val="1155CC"/>
          <w:u w:val="single"/>
        </w:rPr>
        <w:t xml:space="preserve"> </w:t>
      </w:r>
      <w:r>
        <w:rPr>
          <w:rFonts w:ascii="Times New Roman" w:hAnsi="Times New Roman" w:cs="Times New Roman"/>
        </w:rPr>
        <w:t xml:space="preserve">2030: </w:t>
      </w:r>
      <w:hyperlink r:id="rId61">
        <w:r>
          <w:rPr>
            <w:rStyle w:val="Hperlink"/>
            <w:rFonts w:ascii="Times New Roman" w:hAnsi="Times New Roman" w:cs="Times New Roman"/>
            <w:color w:val="0070C0"/>
          </w:rPr>
          <w:t>https://www.riigiteataja.ee/aktilisa/4050/1201/9080/Arengustrat.pdf</w:t>
        </w:r>
      </w:hyperlink>
      <w:r>
        <w:rPr>
          <w:rFonts w:ascii="Times New Roman" w:hAnsi="Times New Roman" w:cs="Times New Roman"/>
          <w:color w:val="0070C0"/>
        </w:rPr>
        <w:t xml:space="preserve"> </w:t>
      </w:r>
    </w:p>
    <w:p w14:paraId="025B53C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arengustrateegia 2022- 2035: </w:t>
      </w:r>
      <w:hyperlink r:id="rId62">
        <w:r>
          <w:rPr>
            <w:rStyle w:val="Hperlink"/>
            <w:rFonts w:ascii="Times New Roman" w:hAnsi="Times New Roman" w:cs="Times New Roman"/>
            <w:color w:val="0070C0"/>
          </w:rPr>
          <w:t>https://www.riigiteataja.ee/aktilisa/4051/0202/3051/Lisa1_arengustrateegia2022.pdf</w:t>
        </w:r>
      </w:hyperlink>
    </w:p>
    <w:p w14:paraId="04A8A72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rahvastik ja rahvastikuprognoos 2022-2052: </w:t>
      </w:r>
      <w:hyperlink r:id="rId63">
        <w:r>
          <w:rPr>
            <w:rStyle w:val="Hperlink"/>
            <w:rFonts w:ascii="Times New Roman" w:hAnsi="Times New Roman" w:cs="Times New Roman"/>
            <w:color w:val="0070C0"/>
          </w:rPr>
          <w:t>https://www.saaremaavald.ee/documents/17113760/31485073/Saaremaa+rahvastik+ja+rahvastikuprognoos+2022%E2%80%932052.pdf/3ee0b626-de77-465d-ba78-8a1ecc676496</w:t>
        </w:r>
      </w:hyperlink>
    </w:p>
    <w:p w14:paraId="552016D8"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eastAsia="Times New Roman" w:hAnsi="Times New Roman" w:cs="Times New Roman"/>
        </w:rPr>
        <w:t>Saaremaa valla Tugiteenuste osakond</w:t>
      </w:r>
    </w:p>
    <w:p w14:paraId="4B195159"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Statistikaameti palgarakendus: </w:t>
      </w:r>
      <w:hyperlink r:id="rId64">
        <w:r>
          <w:rPr>
            <w:rStyle w:val="Hperlink"/>
            <w:rFonts w:ascii="Times New Roman" w:hAnsi="Times New Roman" w:cs="Times New Roman"/>
            <w:color w:val="0070C0"/>
          </w:rPr>
          <w:t>https://palgad.stat.ee/</w:t>
        </w:r>
      </w:hyperlink>
    </w:p>
    <w:p w14:paraId="25529BAD"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Ettevõtluse statistika: </w:t>
      </w:r>
      <w:hyperlink r:id="rId65" w:anchor="ettevotluse-statistika-uldinfo" w:history="1">
        <w:r>
          <w:rPr>
            <w:rStyle w:val="Hperlink"/>
            <w:rFonts w:ascii="Times New Roman" w:hAnsi="Times New Roman" w:cs="Times New Roman"/>
            <w:color w:val="0070C0"/>
          </w:rPr>
          <w:t>https://www.emta.ee/ariklient/amet-uudised-ja-kontakt/uudised-pressiinfo-statistika/statistika-ja-avaandmed#ettevotluse-statistika-uldinfo</w:t>
        </w:r>
      </w:hyperlink>
    </w:p>
    <w:p w14:paraId="6D2AF53E"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Arenguseire keskus. Tööturg 2035. Tööturu tulevikusuunad ja -stsenaariumid: </w:t>
      </w:r>
      <w:hyperlink r:id="rId66">
        <w:r>
          <w:rPr>
            <w:rStyle w:val="Hperlink"/>
            <w:rFonts w:ascii="Times New Roman" w:hAnsi="Times New Roman" w:cs="Times New Roman"/>
            <w:color w:val="0070C0"/>
          </w:rPr>
          <w:t>https://arenguseire.ee/raportid/tooturg-2035-tooturu-tulevikusuunad-ja-stsenaariumid/</w:t>
        </w:r>
      </w:hyperlink>
    </w:p>
    <w:p w14:paraId="240F2A9C"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Statistikaamet. Ukrainlased Eesti tööturul: </w:t>
      </w:r>
      <w:hyperlink r:id="rId67">
        <w:r>
          <w:rPr>
            <w:rStyle w:val="Hperlink"/>
            <w:rFonts w:ascii="Times New Roman" w:hAnsi="Times New Roman" w:cs="Times New Roman"/>
            <w:color w:val="0070C0"/>
          </w:rPr>
          <w:t>https://www.stat.ee/et/avasta-statistikat/kiirstatistika/ukrainlased-eesti-tooturul</w:t>
        </w:r>
      </w:hyperlink>
    </w:p>
    <w:p w14:paraId="74E2697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ettevõtjate rahulolu uuring 2019: </w:t>
      </w:r>
      <w:hyperlink r:id="rId68">
        <w:r>
          <w:rPr>
            <w:rStyle w:val="Hperlink"/>
            <w:rFonts w:ascii="Times New Roman" w:hAnsi="Times New Roman" w:cs="Times New Roman"/>
            <w:color w:val="0070C0"/>
          </w:rPr>
          <w:t>https://www.saaremaavald.ee/documents/17113760/31485073/Saare+maakonna+ettev%C3%B5tjate+rahulolu+uuring+%282019%29.pdf/562b5641-88c4-4b60-89da-fda330ae32ab</w:t>
        </w:r>
      </w:hyperlink>
    </w:p>
    <w:p w14:paraId="2CF5601D"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ettevõtluskeskkond ja selle arendamisvõimaluste analüüs, 2019: </w:t>
      </w:r>
      <w:hyperlink r:id="rId69">
        <w:r>
          <w:rPr>
            <w:rStyle w:val="Hperlink"/>
            <w:rFonts w:ascii="Times New Roman" w:hAnsi="Times New Roman" w:cs="Times New Roman"/>
            <w:color w:val="0070C0"/>
          </w:rPr>
          <w:t>https://www.saaremaavald.ee/documents/17113760/31485073/Saare+maakonna+ettev%C3%B5tluskeskkond+ja+selle+arendamisv%C3%B5imaluste+anal%C3%BC%C3%BCs+%282019%29.pdf/67dbdd8a-5f85-463d-a97f-c2317eb81fb4</w:t>
        </w:r>
      </w:hyperlink>
    </w:p>
    <w:p w14:paraId="5C74F68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Regionaal- ja </w:t>
      </w:r>
      <w:proofErr w:type="spellStart"/>
      <w:r>
        <w:rPr>
          <w:rFonts w:ascii="Times New Roman" w:hAnsi="Times New Roman" w:cs="Times New Roman"/>
        </w:rPr>
        <w:t>Põllumajandusministeerim</w:t>
      </w:r>
      <w:proofErr w:type="spellEnd"/>
      <w:r>
        <w:rPr>
          <w:rFonts w:ascii="Times New Roman" w:hAnsi="Times New Roman" w:cs="Times New Roman"/>
        </w:rPr>
        <w:t xml:space="preserve">. Mereala planeering: </w:t>
      </w:r>
      <w:hyperlink r:id="rId70">
        <w:r>
          <w:rPr>
            <w:rStyle w:val="Hperlink"/>
            <w:rFonts w:ascii="Times New Roman" w:hAnsi="Times New Roman" w:cs="Times New Roman"/>
            <w:color w:val="0070C0"/>
          </w:rPr>
          <w:t>https://www.agri.ee/regionaalareng-planeeringud/ruumiline-planeerimine/mereala-planeering</w:t>
        </w:r>
      </w:hyperlink>
    </w:p>
    <w:p w14:paraId="0E216EA9" w14:textId="77777777" w:rsidR="008312AA" w:rsidRPr="00A71082" w:rsidRDefault="00000000">
      <w:pPr>
        <w:pStyle w:val="Loendilik"/>
        <w:numPr>
          <w:ilvl w:val="0"/>
          <w:numId w:val="21"/>
        </w:numPr>
        <w:spacing w:after="160" w:line="259" w:lineRule="auto"/>
        <w:jc w:val="left"/>
        <w:rPr>
          <w:rStyle w:val="Hperlink"/>
          <w:rFonts w:ascii="Times New Roman" w:hAnsi="Times New Roman" w:cs="Times New Roman"/>
          <w:color w:val="0070C0"/>
          <w:u w:val="none"/>
        </w:rPr>
      </w:pPr>
      <w:r>
        <w:rPr>
          <w:rFonts w:ascii="Times New Roman" w:hAnsi="Times New Roman" w:cs="Times New Roman"/>
        </w:rPr>
        <w:t xml:space="preserve">Eesti mereala keskkonnaseisund, 2018: </w:t>
      </w:r>
      <w:hyperlink r:id="rId71">
        <w:r>
          <w:rPr>
            <w:rStyle w:val="Hperlink"/>
            <w:rFonts w:ascii="Times New Roman" w:hAnsi="Times New Roman" w:cs="Times New Roman"/>
            <w:color w:val="0070C0"/>
          </w:rPr>
          <w:t>https://www.saartekalandus.ee/wp-content/uploads/2023/12/Eesti-mereala-keskkonnaseisundi-hindamise-aruanne.pdf</w:t>
        </w:r>
      </w:hyperlink>
    </w:p>
    <w:p w14:paraId="72B02225" w14:textId="2890F0B9" w:rsidR="00A71082" w:rsidRDefault="00A71082">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Saare maakonnaplaneering 2030+:</w:t>
      </w:r>
      <w:r>
        <w:rPr>
          <w:rFonts w:ascii="Times New Roman" w:hAnsi="Times New Roman" w:cs="Times New Roman"/>
          <w:color w:val="0070C0"/>
        </w:rPr>
        <w:t xml:space="preserve"> </w:t>
      </w:r>
      <w:r w:rsidRPr="00A71082">
        <w:rPr>
          <w:rFonts w:ascii="Times New Roman" w:hAnsi="Times New Roman" w:cs="Times New Roman"/>
          <w:color w:val="0070C0"/>
        </w:rPr>
        <w:t>https://maakonnaplaneering.ee/wp-content/uploads/2021/10/1_Saare_Seletuskiri.pdf</w:t>
      </w:r>
    </w:p>
    <w:p w14:paraId="339EFAEC"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Regionaal- ja Põllumajandusministeerium. Püügistatistika: </w:t>
      </w:r>
      <w:hyperlink r:id="rId72">
        <w:r>
          <w:rPr>
            <w:rStyle w:val="Hperlink"/>
            <w:rFonts w:ascii="Times New Roman" w:hAnsi="Times New Roman" w:cs="Times New Roman"/>
            <w:color w:val="0070C0"/>
          </w:rPr>
          <w:t>https://pta.agri.ee/ettevotjale-tootjale-ja-turustajale/kutseline-kalapuuk/puugistatistika</w:t>
        </w:r>
      </w:hyperlink>
    </w:p>
    <w:p w14:paraId="750D0C0B"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TÜ Eesti Mereinstituut. Püügikoormuse kohandamine hea keskkonnaseisundi tingimustele, 2020: </w:t>
      </w:r>
      <w:hyperlink r:id="rId73">
        <w:r>
          <w:rPr>
            <w:rStyle w:val="Hperlink"/>
            <w:rFonts w:ascii="Times New Roman" w:hAnsi="Times New Roman" w:cs="Times New Roman"/>
            <w:color w:val="0070C0"/>
          </w:rPr>
          <w:t>https://www.saartekalandus.ee/wp-</w:t>
        </w:r>
        <w:r>
          <w:rPr>
            <w:rStyle w:val="Hperlink"/>
            <w:rFonts w:ascii="Times New Roman" w:hAnsi="Times New Roman" w:cs="Times New Roman"/>
            <w:color w:val="0070C0"/>
          </w:rPr>
          <w:lastRenderedPageBreak/>
          <w:t>content/uploads/2023/12/Projekti-Puugikoormuste-kohandamine-lopparuanne.pdf</w:t>
        </w:r>
      </w:hyperlink>
    </w:p>
    <w:p w14:paraId="1093F9CF"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Vesiviljelus Eesti merealal. Alusandmed ja uuringud, 2020: </w:t>
      </w:r>
      <w:hyperlink r:id="rId74">
        <w:r>
          <w:rPr>
            <w:rStyle w:val="Hperlink"/>
            <w:rFonts w:ascii="Times New Roman" w:hAnsi="Times New Roman" w:cs="Times New Roman"/>
            <w:color w:val="0070C0"/>
          </w:rPr>
          <w:t>https://www.saartekalandus.ee/wp-content/uploads/2023/12/Vesiviljelus-Eesti-merealal.pdf</w:t>
        </w:r>
      </w:hyperlink>
    </w:p>
    <w:p w14:paraId="17E33EC3"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Loomus.ee: Joonas Plaan, Avamere kalakasvatuste võimalik keskkonnamõju, 2023: </w:t>
      </w:r>
      <w:hyperlink r:id="rId75">
        <w:r>
          <w:rPr>
            <w:rStyle w:val="Hperlink"/>
            <w:rFonts w:ascii="Times New Roman" w:hAnsi="Times New Roman" w:cs="Times New Roman"/>
            <w:color w:val="0070C0"/>
          </w:rPr>
          <w:t>https://loomus.ee/loe-joonas-plaani-ettekande-avamere-kalakasvatuste-voimalik-keskkonnamoju-uleskirjutus/</w:t>
        </w:r>
      </w:hyperlink>
    </w:p>
    <w:p w14:paraId="03EB7A0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Kliimaministeerium. Kalandus: </w:t>
      </w:r>
      <w:hyperlink r:id="rId76">
        <w:r>
          <w:rPr>
            <w:rStyle w:val="Hperlink"/>
            <w:rFonts w:ascii="Times New Roman" w:hAnsi="Times New Roman" w:cs="Times New Roman"/>
            <w:color w:val="0070C0"/>
          </w:rPr>
          <w:t>https://kliimaministeerium.ee/kalandus</w:t>
        </w:r>
      </w:hyperlink>
    </w:p>
    <w:p w14:paraId="7BB571C6"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Kliimaministeerium. Kalanduse uuringud ja aruanded: </w:t>
      </w:r>
      <w:hyperlink r:id="rId77">
        <w:r>
          <w:rPr>
            <w:rStyle w:val="Hperlink"/>
            <w:rFonts w:ascii="Times New Roman" w:hAnsi="Times New Roman" w:cs="Times New Roman"/>
            <w:color w:val="0070C0"/>
          </w:rPr>
          <w:t>https://kliimaministeerium.ee/elurikkus-keskkonnakaitse/kalandus/uuringud-ja-aruanded</w:t>
        </w:r>
      </w:hyperlink>
    </w:p>
    <w:p w14:paraId="7ADAB635"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eastAsia="Times New Roman" w:hAnsi="Times New Roman" w:cs="Times New Roman"/>
        </w:rPr>
        <w:t xml:space="preserve">Rootsi Põllumajandusteaduste Ülikool. Rebeka </w:t>
      </w:r>
      <w:proofErr w:type="spellStart"/>
      <w:r>
        <w:rPr>
          <w:rFonts w:ascii="Times New Roman" w:eastAsia="Times New Roman" w:hAnsi="Times New Roman" w:cs="Times New Roman"/>
        </w:rPr>
        <w:t>Svensson</w:t>
      </w:r>
      <w:proofErr w:type="spellEnd"/>
      <w:r>
        <w:rPr>
          <w:rFonts w:ascii="Times New Roman" w:eastAsia="Times New Roman" w:hAnsi="Times New Roman" w:cs="Times New Roman"/>
        </w:rPr>
        <w:t xml:space="preserve">, </w:t>
      </w:r>
      <w:r>
        <w:rPr>
          <w:rFonts w:ascii="Times New Roman" w:hAnsi="Times New Roman" w:cs="Times New Roman"/>
        </w:rPr>
        <w:t xml:space="preserve">Development of </w:t>
      </w:r>
      <w:proofErr w:type="spellStart"/>
      <w:r>
        <w:rPr>
          <w:rFonts w:ascii="Times New Roman" w:hAnsi="Times New Roman" w:cs="Times New Roman"/>
        </w:rPr>
        <w:t>northern</w:t>
      </w:r>
      <w:proofErr w:type="spellEnd"/>
      <w:r>
        <w:rPr>
          <w:rFonts w:ascii="Times New Roman" w:hAnsi="Times New Roman" w:cs="Times New Roman"/>
        </w:rPr>
        <w:t xml:space="preserve"> </w:t>
      </w:r>
      <w:proofErr w:type="spellStart"/>
      <w:r>
        <w:rPr>
          <w:rFonts w:ascii="Times New Roman" w:hAnsi="Times New Roman" w:cs="Times New Roman"/>
        </w:rPr>
        <w:t>pike</w:t>
      </w:r>
      <w:proofErr w:type="spellEnd"/>
      <w:r>
        <w:rPr>
          <w:rFonts w:ascii="Times New Roman" w:hAnsi="Times New Roman" w:cs="Times New Roman"/>
        </w:rPr>
        <w:t xml:space="preserve"> (</w:t>
      </w:r>
      <w:proofErr w:type="spellStart"/>
      <w:r>
        <w:rPr>
          <w:rFonts w:ascii="Times New Roman" w:hAnsi="Times New Roman" w:cs="Times New Roman"/>
        </w:rPr>
        <w:t>Esox</w:t>
      </w:r>
      <w:proofErr w:type="spellEnd"/>
      <w:r>
        <w:rPr>
          <w:rFonts w:ascii="Times New Roman" w:hAnsi="Times New Roman" w:cs="Times New Roman"/>
        </w:rPr>
        <w:t xml:space="preserve"> </w:t>
      </w:r>
      <w:proofErr w:type="spellStart"/>
      <w:r>
        <w:rPr>
          <w:rFonts w:ascii="Times New Roman" w:hAnsi="Times New Roman" w:cs="Times New Roman"/>
        </w:rPr>
        <w:t>lucius</w:t>
      </w:r>
      <w:proofErr w:type="spellEnd"/>
      <w:r>
        <w:rPr>
          <w:rFonts w:ascii="Times New Roman" w:hAnsi="Times New Roman" w:cs="Times New Roman"/>
        </w:rPr>
        <w:t xml:space="preserve">) </w:t>
      </w:r>
      <w:proofErr w:type="spellStart"/>
      <w:r>
        <w:rPr>
          <w:rFonts w:ascii="Times New Roman" w:hAnsi="Times New Roman" w:cs="Times New Roman"/>
        </w:rPr>
        <w:t>populations</w:t>
      </w:r>
      <w:proofErr w:type="spellEnd"/>
      <w:r>
        <w:rPr>
          <w:rFonts w:ascii="Times New Roman" w:hAnsi="Times New Roman" w:cs="Times New Roman"/>
        </w:rPr>
        <w:t xml:space="preserve"> in </w:t>
      </w:r>
      <w:proofErr w:type="spellStart"/>
      <w:r>
        <w:rPr>
          <w:rFonts w:ascii="Times New Roman" w:hAnsi="Times New Roman" w:cs="Times New Roman"/>
        </w:rPr>
        <w:t>the</w:t>
      </w:r>
      <w:proofErr w:type="spellEnd"/>
      <w:r>
        <w:rPr>
          <w:rFonts w:ascii="Times New Roman" w:hAnsi="Times New Roman" w:cs="Times New Roman"/>
        </w:rPr>
        <w:t xml:space="preserve"> Baltic Sea, and </w:t>
      </w:r>
      <w:proofErr w:type="spellStart"/>
      <w:r>
        <w:rPr>
          <w:rFonts w:ascii="Times New Roman" w:hAnsi="Times New Roman" w:cs="Times New Roman"/>
        </w:rPr>
        <w:t>potential</w:t>
      </w:r>
      <w:proofErr w:type="spellEnd"/>
      <w:r>
        <w:rPr>
          <w:rFonts w:ascii="Times New Roman" w:hAnsi="Times New Roman" w:cs="Times New Roman"/>
        </w:rPr>
        <w:t xml:space="preserve"> </w:t>
      </w:r>
      <w:proofErr w:type="spellStart"/>
      <w:r>
        <w:rPr>
          <w:rFonts w:ascii="Times New Roman" w:hAnsi="Times New Roman" w:cs="Times New Roman"/>
        </w:rPr>
        <w:t>effects</w:t>
      </w:r>
      <w:proofErr w:type="spellEnd"/>
      <w:r>
        <w:rPr>
          <w:rFonts w:ascii="Times New Roman" w:hAnsi="Times New Roman" w:cs="Times New Roman"/>
        </w:rPr>
        <w:t xml:space="preserve"> of </w:t>
      </w:r>
      <w:proofErr w:type="spellStart"/>
      <w:r>
        <w:rPr>
          <w:rFonts w:ascii="Times New Roman" w:hAnsi="Times New Roman" w:cs="Times New Roman"/>
        </w:rPr>
        <w:t>grey</w:t>
      </w:r>
      <w:proofErr w:type="spellEnd"/>
      <w:r>
        <w:rPr>
          <w:rFonts w:ascii="Times New Roman" w:hAnsi="Times New Roman" w:cs="Times New Roman"/>
        </w:rPr>
        <w:t xml:space="preserve"> seal (</w:t>
      </w:r>
      <w:proofErr w:type="spellStart"/>
      <w:r>
        <w:rPr>
          <w:rFonts w:ascii="Times New Roman" w:hAnsi="Times New Roman" w:cs="Times New Roman"/>
        </w:rPr>
        <w:t>Halichoerus</w:t>
      </w:r>
      <w:proofErr w:type="spellEnd"/>
      <w:r>
        <w:rPr>
          <w:rFonts w:ascii="Times New Roman" w:hAnsi="Times New Roman" w:cs="Times New Roman"/>
        </w:rPr>
        <w:t xml:space="preserve"> </w:t>
      </w:r>
      <w:proofErr w:type="spellStart"/>
      <w:r>
        <w:rPr>
          <w:rFonts w:ascii="Times New Roman" w:hAnsi="Times New Roman" w:cs="Times New Roman"/>
        </w:rPr>
        <w:t>grypus</w:t>
      </w:r>
      <w:proofErr w:type="spellEnd"/>
      <w:r>
        <w:rPr>
          <w:rFonts w:ascii="Times New Roman" w:hAnsi="Times New Roman" w:cs="Times New Roman"/>
        </w:rPr>
        <w:t xml:space="preserve">) </w:t>
      </w:r>
      <w:proofErr w:type="spellStart"/>
      <w:r>
        <w:rPr>
          <w:rFonts w:ascii="Times New Roman" w:hAnsi="Times New Roman" w:cs="Times New Roman"/>
        </w:rPr>
        <w:t>predation</w:t>
      </w:r>
      <w:proofErr w:type="spellEnd"/>
      <w:r>
        <w:rPr>
          <w:rFonts w:ascii="Times New Roman" w:hAnsi="Times New Roman" w:cs="Times New Roman"/>
        </w:rPr>
        <w:t xml:space="preserve">, 2021: </w:t>
      </w:r>
      <w:hyperlink r:id="rId78">
        <w:r>
          <w:rPr>
            <w:rStyle w:val="Hperlink"/>
            <w:rFonts w:ascii="Times New Roman" w:hAnsi="Times New Roman" w:cs="Times New Roman"/>
            <w:color w:val="0070C0"/>
          </w:rPr>
          <w:t>https://stud.epsilon.slu.se/16455/1/svensson_r_210215.pdf</w:t>
        </w:r>
      </w:hyperlink>
    </w:p>
    <w:p w14:paraId="338D0411"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Baltic Sea </w:t>
      </w:r>
      <w:proofErr w:type="spellStart"/>
      <w:r>
        <w:rPr>
          <w:rFonts w:ascii="Times New Roman" w:hAnsi="Times New Roman" w:cs="Times New Roman"/>
        </w:rPr>
        <w:t>Fisheries</w:t>
      </w:r>
      <w:proofErr w:type="spellEnd"/>
      <w:r>
        <w:rPr>
          <w:rFonts w:ascii="Times New Roman" w:hAnsi="Times New Roman" w:cs="Times New Roman"/>
        </w:rPr>
        <w:t xml:space="preserve">: Kormoranide ja hüljeste mõju Läänemere väikekalapüügile: Üleskutse Euroopa Liidu ja riiklike otsustajate koheseks </w:t>
      </w:r>
      <w:proofErr w:type="spellStart"/>
      <w:r>
        <w:rPr>
          <w:rFonts w:ascii="Times New Roman" w:hAnsi="Times New Roman" w:cs="Times New Roman"/>
        </w:rPr>
        <w:t>tegutsemisek</w:t>
      </w:r>
      <w:proofErr w:type="spellEnd"/>
      <w:r>
        <w:rPr>
          <w:rFonts w:ascii="Times New Roman" w:hAnsi="Times New Roman" w:cs="Times New Roman"/>
        </w:rPr>
        <w:t xml:space="preserve">, 2021: </w:t>
      </w:r>
      <w:hyperlink r:id="rId79">
        <w:r>
          <w:rPr>
            <w:rStyle w:val="Hperlink"/>
            <w:rFonts w:ascii="Times New Roman" w:hAnsi="Times New Roman" w:cs="Times New Roman"/>
            <w:color w:val="0070C0"/>
          </w:rPr>
          <w:t>https://balticfisheries.com/wp-content/uploads/2021/06/EE-meediabulletaan-Final-seminar-Baltic-FLAGs-26.5.2021.pdf</w:t>
        </w:r>
      </w:hyperlink>
    </w:p>
    <w:p w14:paraId="43E1E0E9"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Soome, </w:t>
      </w:r>
      <w:proofErr w:type="spellStart"/>
      <w:r>
        <w:rPr>
          <w:rFonts w:ascii="Times New Roman" w:hAnsi="Times New Roman" w:cs="Times New Roman"/>
        </w:rPr>
        <w:t>Renew</w:t>
      </w:r>
      <w:proofErr w:type="spellEnd"/>
      <w:r>
        <w:rPr>
          <w:rFonts w:ascii="Times New Roman" w:hAnsi="Times New Roman" w:cs="Times New Roman"/>
        </w:rPr>
        <w:t xml:space="preserve"> Europe Group: The </w:t>
      </w:r>
      <w:proofErr w:type="spellStart"/>
      <w:r>
        <w:rPr>
          <w:rFonts w:ascii="Times New Roman" w:hAnsi="Times New Roman" w:cs="Times New Roman"/>
        </w:rPr>
        <w:t>impacts</w:t>
      </w:r>
      <w:proofErr w:type="spellEnd"/>
      <w:r>
        <w:rPr>
          <w:rFonts w:ascii="Times New Roman" w:hAnsi="Times New Roman" w:cs="Times New Roman"/>
        </w:rPr>
        <w:t xml:space="preserve"> of </w:t>
      </w:r>
      <w:proofErr w:type="spellStart"/>
      <w:r>
        <w:rPr>
          <w:rFonts w:ascii="Times New Roman" w:hAnsi="Times New Roman" w:cs="Times New Roman"/>
        </w:rPr>
        <w:t>seals</w:t>
      </w:r>
      <w:proofErr w:type="spellEnd"/>
      <w:r>
        <w:rPr>
          <w:rFonts w:ascii="Times New Roman" w:hAnsi="Times New Roman" w:cs="Times New Roman"/>
        </w:rPr>
        <w:t xml:space="preserve"> and </w:t>
      </w:r>
      <w:proofErr w:type="spellStart"/>
      <w:r>
        <w:rPr>
          <w:rFonts w:ascii="Times New Roman" w:hAnsi="Times New Roman" w:cs="Times New Roman"/>
        </w:rPr>
        <w:t>cormorants</w:t>
      </w:r>
      <w:proofErr w:type="spellEnd"/>
      <w:r>
        <w:rPr>
          <w:rFonts w:ascii="Times New Roman" w:hAnsi="Times New Roman" w:cs="Times New Roman"/>
        </w:rPr>
        <w:t xml:space="preserve"> </w:t>
      </w:r>
      <w:proofErr w:type="spellStart"/>
      <w:r>
        <w:rPr>
          <w:rFonts w:ascii="Times New Roman" w:hAnsi="Times New Roman" w:cs="Times New Roman"/>
        </w:rPr>
        <w:t>experienced</w:t>
      </w:r>
      <w:proofErr w:type="spellEnd"/>
      <w:r>
        <w:rPr>
          <w:rFonts w:ascii="Times New Roman" w:hAnsi="Times New Roman" w:cs="Times New Roman"/>
        </w:rPr>
        <w:t xml:space="preserve"> by Baltic Sea </w:t>
      </w:r>
      <w:proofErr w:type="spellStart"/>
      <w:r>
        <w:rPr>
          <w:rFonts w:ascii="Times New Roman" w:hAnsi="Times New Roman" w:cs="Times New Roman"/>
        </w:rPr>
        <w:t>commercial</w:t>
      </w:r>
      <w:proofErr w:type="spellEnd"/>
      <w:r>
        <w:rPr>
          <w:rFonts w:ascii="Times New Roman" w:hAnsi="Times New Roman" w:cs="Times New Roman"/>
        </w:rPr>
        <w:t xml:space="preserve"> </w:t>
      </w:r>
      <w:proofErr w:type="spellStart"/>
      <w:r>
        <w:rPr>
          <w:rFonts w:ascii="Times New Roman" w:hAnsi="Times New Roman" w:cs="Times New Roman"/>
        </w:rPr>
        <w:t>fishers</w:t>
      </w:r>
      <w:proofErr w:type="spellEnd"/>
      <w:r>
        <w:rPr>
          <w:rFonts w:ascii="Times New Roman" w:hAnsi="Times New Roman" w:cs="Times New Roman"/>
        </w:rPr>
        <w:t xml:space="preserve">, 2019: </w:t>
      </w:r>
      <w:hyperlink r:id="rId80">
        <w:r>
          <w:rPr>
            <w:rStyle w:val="Hperlink"/>
            <w:rFonts w:ascii="Times New Roman" w:hAnsi="Times New Roman" w:cs="Times New Roman"/>
            <w:color w:val="0070C0"/>
          </w:rPr>
          <w:t>https://jukuri.luke.fi/bitstream/handle/10024/544854/luke_luobio_77_2019.pdf?sequence=1&amp;isAllowed=y&amp;fbclid=IwAR2cHrHn1ONAWu_p96PRGRVkDE6Ys_k_5dz9P6nTaV6ECfEaCCRfuQL6CPg</w:t>
        </w:r>
      </w:hyperlink>
    </w:p>
    <w:p w14:paraId="4B7E113A"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Regionaal- ja Põllumajandusministeerium: Põllumajanduse, kalanduse, maaelu ja toiduainetetööstuse ülevaade 2022: </w:t>
      </w:r>
      <w:hyperlink r:id="rId81">
        <w:r>
          <w:rPr>
            <w:rStyle w:val="Hperlink"/>
            <w:rFonts w:ascii="Times New Roman" w:hAnsi="Times New Roman" w:cs="Times New Roman"/>
            <w:color w:val="0070C0"/>
          </w:rPr>
          <w:t>https://www.agri.ee/maaelu-pollumajandus-toiduturg/pollumajandus-ja-toiduturg/ulevaated-ja-statistika?view_instance=0&amp;current_page=1</w:t>
        </w:r>
      </w:hyperlink>
    </w:p>
    <w:p w14:paraId="3E67BBF5"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Põllumajanduse- ja Toiduamet. </w:t>
      </w:r>
      <w:hyperlink r:id="rId82" w:anchor="/toitKaitlemisettevotedparing?query=%257B%2522filter%2522%253A%257B%2522pohiKaitlemisvaldkonnad%2522%253A%255B11225%255D%252C%2522maakonnaEhak%2522%253A%255B%25220074%2522%255D%257D%252C%2522sort%2522%253A%257B%2522asc%2522%253Atrue%252C%2522fieldName%2522%253A%2522kaitlejaNimi%252CtegevuskohaNimi%2522%257D%252C%2522pagination%2522%253A%257B%2522page%2522%253A1%252C%2522pageSize%2522%253A50%252C%2522rowCount%2522%253A0%252C%2522ellipsisSize%2522%253A3%257D%257D" w:history="1">
        <w:r>
          <w:rPr>
            <w:rStyle w:val="Hperlink"/>
            <w:rFonts w:ascii="Times New Roman" w:hAnsi="Times New Roman" w:cs="Times New Roman"/>
            <w:color w:val="0070C0"/>
          </w:rPr>
          <w:t>Teavitatud ja tegevusloaga toidu/ toiduga kokkupuutumiseks ettenähtud materjalide ja esemete käitlejate otsing</w:t>
        </w:r>
      </w:hyperlink>
      <w:r>
        <w:rPr>
          <w:rFonts w:ascii="Times New Roman" w:hAnsi="Times New Roman" w:cs="Times New Roman"/>
          <w:color w:val="0070C0"/>
        </w:rPr>
        <w:t xml:space="preserve"> </w:t>
      </w:r>
    </w:p>
    <w:p w14:paraId="2CA27056"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 xml:space="preserve">Ettevõtete majandusaasta aruanded ja </w:t>
      </w:r>
      <w:hyperlink r:id="rId83">
        <w:r>
          <w:rPr>
            <w:rStyle w:val="Hperlink"/>
            <w:rFonts w:ascii="Times New Roman" w:hAnsi="Times New Roman" w:cs="Times New Roman"/>
            <w:color w:val="0070C0"/>
          </w:rPr>
          <w:t>www.teatmik.ee</w:t>
        </w:r>
      </w:hyperlink>
      <w:r>
        <w:rPr>
          <w:rFonts w:ascii="Times New Roman" w:hAnsi="Times New Roman" w:cs="Times New Roman"/>
          <w:color w:val="0070C0"/>
        </w:rPr>
        <w:t xml:space="preserve"> </w:t>
      </w:r>
      <w:r>
        <w:rPr>
          <w:rFonts w:ascii="Times New Roman" w:hAnsi="Times New Roman" w:cs="Times New Roman"/>
        </w:rPr>
        <w:t>seireandmed</w:t>
      </w:r>
    </w:p>
    <w:p w14:paraId="6EBC4DE9"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Ettevõtete kodulehed</w:t>
      </w:r>
    </w:p>
    <w:p w14:paraId="4905C61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Eesti Konjunktuuriinstituut: Kala ja kalatoodete tarbimine, 2022: </w:t>
      </w:r>
      <w:hyperlink r:id="rId84">
        <w:r>
          <w:rPr>
            <w:rStyle w:val="Hperlink"/>
            <w:rFonts w:ascii="Times New Roman" w:hAnsi="Times New Roman" w:cs="Times New Roman"/>
            <w:color w:val="0070C0"/>
          </w:rPr>
          <w:t>https://www.saartekalandus.ee/wp-content/uploads/2023/08/Kala-ja-kalatoodete-tarbimine.pdf</w:t>
        </w:r>
      </w:hyperlink>
    </w:p>
    <w:p w14:paraId="7D8DA0FE"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Riigiteataja: Perioodi 2021–2027 kogukonna juhitud kohaliku arengu toetus: </w:t>
      </w:r>
      <w:hyperlink r:id="rId85">
        <w:r>
          <w:rPr>
            <w:rStyle w:val="Hperlink"/>
            <w:rFonts w:ascii="Times New Roman" w:hAnsi="Times New Roman" w:cs="Times New Roman"/>
            <w:color w:val="0070C0"/>
          </w:rPr>
          <w:t>https://www.riigiteataja.ee/akt/119102023013</w:t>
        </w:r>
      </w:hyperlink>
    </w:p>
    <w:p w14:paraId="3D663067"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Euroopa Sotsiaalfond 2021- 2027: </w:t>
      </w:r>
      <w:hyperlink r:id="rId86">
        <w:r>
          <w:rPr>
            <w:rStyle w:val="Hperlink"/>
            <w:rFonts w:ascii="Times New Roman" w:hAnsi="Times New Roman" w:cs="Times New Roman"/>
            <w:color w:val="0070C0"/>
          </w:rPr>
          <w:t>https://www.europarl.europa.eu/factsheets/et/sheet/53/euroopa-sotsiaalfond</w:t>
        </w:r>
      </w:hyperlink>
    </w:p>
    <w:p w14:paraId="145BAA46"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Regionaalpoliitika programm 2022-2025</w:t>
      </w:r>
      <w:r>
        <w:rPr>
          <w:rFonts w:ascii="Times New Roman" w:hAnsi="Times New Roman" w:cs="Times New Roman"/>
          <w:color w:val="0070C0"/>
        </w:rPr>
        <w:t xml:space="preserve">: </w:t>
      </w:r>
      <w:hyperlink r:id="rId87">
        <w:r>
          <w:rPr>
            <w:rStyle w:val="Hperlink"/>
            <w:rFonts w:ascii="Times New Roman" w:hAnsi="Times New Roman" w:cs="Times New Roman"/>
            <w:color w:val="0070C0"/>
          </w:rPr>
          <w:t>https://www.saartekalandus.ee/wp-content/uploads/2023/10/Regionaalpoliitika-programm-2022-2025_0.pdf</w:t>
        </w:r>
      </w:hyperlink>
    </w:p>
    <w:p w14:paraId="1BA00484"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Ettevõtluskeskkonna programm 2023 – 2026: </w:t>
      </w:r>
      <w:hyperlink r:id="rId88">
        <w:r>
          <w:rPr>
            <w:rStyle w:val="Hperlink"/>
            <w:rFonts w:ascii="Times New Roman" w:hAnsi="Times New Roman" w:cs="Times New Roman"/>
            <w:color w:val="0070C0"/>
          </w:rPr>
          <w:t>https://www.saartekalandus.ee/wp-content/uploads/2023/10/Ettevotluskeskkonna-programm-2023-2026.pdf</w:t>
        </w:r>
      </w:hyperlink>
    </w:p>
    <w:p w14:paraId="64DA018F"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lastRenderedPageBreak/>
        <w:t xml:space="preserve">Põllumajanduse ja kalanduse valdkonna arengukava aastani 2030: </w:t>
      </w:r>
      <w:hyperlink r:id="rId89">
        <w:r>
          <w:rPr>
            <w:rStyle w:val="Hperlink"/>
            <w:rFonts w:ascii="Times New Roman" w:hAnsi="Times New Roman" w:cs="Times New Roman"/>
            <w:color w:val="0070C0"/>
          </w:rPr>
          <w:t>https://www.saartekalandus.ee/wp-content/uploads/2023/10/poka-2030-taistekst.pdf</w:t>
        </w:r>
      </w:hyperlink>
    </w:p>
    <w:p w14:paraId="1A7AC157" w14:textId="77777777" w:rsidR="008312AA" w:rsidRDefault="00000000">
      <w:pPr>
        <w:pStyle w:val="Loendilik"/>
        <w:numPr>
          <w:ilvl w:val="0"/>
          <w:numId w:val="21"/>
        </w:numPr>
        <w:spacing w:after="160" w:line="259" w:lineRule="auto"/>
        <w:jc w:val="left"/>
        <w:rPr>
          <w:rFonts w:ascii="Times New Roman" w:hAnsi="Times New Roman" w:cs="Times New Roman"/>
        </w:rPr>
      </w:pPr>
      <w:r>
        <w:rPr>
          <w:rFonts w:ascii="Times New Roman" w:hAnsi="Times New Roman" w:cs="Times New Roman"/>
        </w:rPr>
        <w:t>Euroopa Merendus, Kalandus ja Vesiviljelusfond - Eesti</w:t>
      </w:r>
    </w:p>
    <w:p w14:paraId="7257D9C7"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Rakenduskava 2021-2027: </w:t>
      </w:r>
      <w:hyperlink r:id="rId90">
        <w:r>
          <w:rPr>
            <w:rStyle w:val="Hperlink"/>
            <w:rFonts w:ascii="Times New Roman" w:hAnsi="Times New Roman" w:cs="Times New Roman"/>
            <w:color w:val="0070C0"/>
          </w:rPr>
          <w:t>https://www.saartekalandus.ee/wp-content/uploads/2023/10/emkvf-2021-rakenduskava-2022-12-08.pdf</w:t>
        </w:r>
      </w:hyperlink>
    </w:p>
    <w:p w14:paraId="2F4AA9D2"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Üleriigiline planeering eesti 2030+: </w:t>
      </w:r>
      <w:hyperlink r:id="rId91">
        <w:r>
          <w:rPr>
            <w:rStyle w:val="Hperlink"/>
            <w:rFonts w:ascii="Times New Roman" w:hAnsi="Times New Roman" w:cs="Times New Roman"/>
            <w:color w:val="0070C0"/>
          </w:rPr>
          <w:t>https://www.saartekalandus.ee/wp-content/uploads/2023/10/uleriigiline-planeering_2030.pdf</w:t>
        </w:r>
      </w:hyperlink>
    </w:p>
    <w:p w14:paraId="5E61A0F3"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Ühtekuuluvuspoliitika fondide rakenduskava perioodiks 2021-2027, EESTI: </w:t>
      </w:r>
      <w:hyperlink r:id="rId92">
        <w:r>
          <w:rPr>
            <w:rStyle w:val="Hperlink"/>
            <w:rFonts w:ascii="Times New Roman" w:hAnsi="Times New Roman" w:cs="Times New Roman"/>
            <w:color w:val="0070C0"/>
          </w:rPr>
          <w:t>https://www.saartekalandus.ee/wp-content/uploads/2023/12/Uhtekuuluvuspoliitika-fondide-rakenduskava-perioodiks-2021-2027.pdf</w:t>
        </w:r>
      </w:hyperlink>
    </w:p>
    <w:p w14:paraId="626864F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Euroopa Liidu Läänemere piirkonna strateegia ja makropiirkondade osa tulevases ühtekuuluvuspoliitikas: </w:t>
      </w:r>
      <w:hyperlink r:id="rId93">
        <w:r>
          <w:rPr>
            <w:rStyle w:val="Hperlink"/>
            <w:rFonts w:ascii="Times New Roman" w:hAnsi="Times New Roman" w:cs="Times New Roman"/>
            <w:color w:val="0070C0"/>
          </w:rPr>
          <w:t>https://eurlex.europa.eu/LexUriServ/LexUriServ.do?uri=OJ:C:2011:351E:0001:0008:ET:PDF</w:t>
        </w:r>
      </w:hyperlink>
    </w:p>
    <w:p w14:paraId="59F54325"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Transpordi ja liikuvuse arengukava 2021 – 2035: </w:t>
      </w:r>
      <w:hyperlink r:id="rId94">
        <w:r>
          <w:rPr>
            <w:rStyle w:val="Hperlink"/>
            <w:rFonts w:ascii="Times New Roman" w:hAnsi="Times New Roman" w:cs="Times New Roman"/>
            <w:color w:val="0070C0"/>
          </w:rPr>
          <w:t>https://www.saartekalandus.ee/wp-content/uploads/2023/10/Transpordi-ja-liikuvuse-arengukava-2021%E2%80%932035.pdf</w:t>
        </w:r>
      </w:hyperlink>
    </w:p>
    <w:p w14:paraId="311DDB3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Eesti digiühiskonna arengukava 2030: </w:t>
      </w:r>
      <w:hyperlink r:id="rId95">
        <w:r>
          <w:rPr>
            <w:rStyle w:val="Hperlink"/>
            <w:rFonts w:ascii="Times New Roman" w:hAnsi="Times New Roman" w:cs="Times New Roman"/>
            <w:color w:val="0070C0"/>
          </w:rPr>
          <w:t>https://www.saartekalandus.ee/wp-content/uploads/2023/10/Digiuhiskonnna-ARENGUKAVA_13.12.2021.pdf</w:t>
        </w:r>
      </w:hyperlink>
    </w:p>
    <w:p w14:paraId="6170126A"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Kliimamuutustega kohanemise arengukava aastani 2030: </w:t>
      </w:r>
      <w:hyperlink r:id="rId96">
        <w:r>
          <w:rPr>
            <w:rStyle w:val="Hperlink"/>
            <w:rFonts w:ascii="Times New Roman" w:hAnsi="Times New Roman" w:cs="Times New Roman"/>
            <w:color w:val="0070C0"/>
          </w:rPr>
          <w:t>https://www.saartekalandus.ee/wp-content/uploads/2023/10/Kliimamuutustega-kohanemise-arengukava-aastani-2030.pdf</w:t>
        </w:r>
      </w:hyperlink>
    </w:p>
    <w:p w14:paraId="237F5E4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arengustrateegia 2022 – 2035: </w:t>
      </w:r>
      <w:hyperlink r:id="rId97">
        <w:r>
          <w:rPr>
            <w:rStyle w:val="Hperlink"/>
            <w:rFonts w:ascii="Times New Roman" w:hAnsi="Times New Roman" w:cs="Times New Roman"/>
            <w:color w:val="0070C0"/>
          </w:rPr>
          <w:t>https://www.riigiteataja.ee/aktilisa/4051/0202/3051/Lisa1_arengustrateegia2022.pdf</w:t>
        </w:r>
      </w:hyperlink>
    </w:p>
    <w:p w14:paraId="684F8CBF"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 maakonna kestliku turismi arengustrateegia 2022 – 2030: </w:t>
      </w:r>
      <w:hyperlink r:id="rId98">
        <w:r>
          <w:rPr>
            <w:rStyle w:val="Hperlink"/>
            <w:rFonts w:ascii="Times New Roman" w:hAnsi="Times New Roman" w:cs="Times New Roman"/>
            <w:color w:val="0070C0"/>
          </w:rPr>
          <w:t>https://www.riigiteataja.ee/aktilisa/4040/5202/2015/strateegia.pdf</w:t>
        </w:r>
      </w:hyperlink>
    </w:p>
    <w:p w14:paraId="4ED770E0"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Muhu valla arengukava 2019 – 2030: </w:t>
      </w:r>
      <w:hyperlink r:id="rId99">
        <w:r>
          <w:rPr>
            <w:rStyle w:val="Hperlink"/>
            <w:rFonts w:ascii="Times New Roman" w:hAnsi="Times New Roman" w:cs="Times New Roman"/>
            <w:color w:val="0070C0"/>
          </w:rPr>
          <w:t>https://www.riigiteataja.ee/aktilisa/4280/9202/2023/MuhuVVK_15082019_m36_lisa1.pdf</w:t>
        </w:r>
      </w:hyperlink>
    </w:p>
    <w:p w14:paraId="3A121406"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Ruhnu valla arengukava 2020 – 2030: </w:t>
      </w:r>
      <w:hyperlink r:id="rId100">
        <w:r>
          <w:rPr>
            <w:rStyle w:val="Hperlink"/>
            <w:rFonts w:ascii="Times New Roman" w:hAnsi="Times New Roman" w:cs="Times New Roman"/>
            <w:color w:val="0070C0"/>
          </w:rPr>
          <w:t>https://www.riigiteataja.ee/aktilisa/4271/1202/0023/arengukava.pdf</w:t>
        </w:r>
      </w:hyperlink>
    </w:p>
    <w:p w14:paraId="6296EB11"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valla ettevõtluskeskkonna ja innovatsiooni arengukava 2020 – 2030: </w:t>
      </w:r>
      <w:hyperlink r:id="rId101">
        <w:r>
          <w:rPr>
            <w:rStyle w:val="Hperlink"/>
            <w:rFonts w:ascii="Times New Roman" w:hAnsi="Times New Roman" w:cs="Times New Roman"/>
            <w:color w:val="0070C0"/>
          </w:rPr>
          <w:t>https://www.riigiteataja.ee/aktilisa/4050/2202/0035/Lisa.pdf</w:t>
        </w:r>
      </w:hyperlink>
    </w:p>
    <w:p w14:paraId="52C4D08E"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valla kogukondliku tegevuse arengukava 2021 – 2030: </w:t>
      </w:r>
      <w:hyperlink r:id="rId102">
        <w:r>
          <w:rPr>
            <w:rStyle w:val="Hperlink"/>
            <w:rFonts w:ascii="Times New Roman" w:hAnsi="Times New Roman" w:cs="Times New Roman"/>
            <w:color w:val="0070C0"/>
          </w:rPr>
          <w:t>https://www.riigiteataja.ee/aktilisa/4081/0202/1013/kogukondliku%20tegevuse%20ak.pdf</w:t>
        </w:r>
      </w:hyperlink>
    </w:p>
    <w:p w14:paraId="6381A835"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valla kultuuri arengukava 2020 – 2030: </w:t>
      </w:r>
      <w:hyperlink r:id="rId103">
        <w:r>
          <w:rPr>
            <w:rStyle w:val="Hperlink"/>
            <w:rFonts w:ascii="Times New Roman" w:hAnsi="Times New Roman" w:cs="Times New Roman"/>
            <w:color w:val="0070C0"/>
          </w:rPr>
          <w:t>https://www.riigiteataja.ee/aktilisa/4060/3202/0074/Kultuuri%20arengukava.pdf</w:t>
        </w:r>
      </w:hyperlink>
    </w:p>
    <w:p w14:paraId="001EE42E" w14:textId="77777777" w:rsidR="008312AA" w:rsidRDefault="00000000">
      <w:pPr>
        <w:pStyle w:val="Loendilik"/>
        <w:numPr>
          <w:ilvl w:val="0"/>
          <w:numId w:val="21"/>
        </w:numPr>
        <w:spacing w:after="160" w:line="259" w:lineRule="auto"/>
        <w:jc w:val="left"/>
        <w:rPr>
          <w:rFonts w:ascii="Times New Roman" w:hAnsi="Times New Roman" w:cs="Times New Roman"/>
          <w:color w:val="0070C0"/>
        </w:rPr>
      </w:pPr>
      <w:r>
        <w:rPr>
          <w:rFonts w:ascii="Times New Roman" w:hAnsi="Times New Roman" w:cs="Times New Roman"/>
        </w:rPr>
        <w:t xml:space="preserve">Saaremaa valla sadamate arengukava 2021- 2030: </w:t>
      </w:r>
      <w:hyperlink r:id="rId104">
        <w:r>
          <w:rPr>
            <w:rStyle w:val="Hperlink"/>
            <w:rFonts w:ascii="Times New Roman" w:hAnsi="Times New Roman" w:cs="Times New Roman"/>
            <w:color w:val="0070C0"/>
          </w:rPr>
          <w:t>https://www.riigiteataja.ee/aktilisa/4030/9202/1011/sadamate%20ak.pdf</w:t>
        </w:r>
      </w:hyperlink>
      <w:r>
        <w:rPr>
          <w:rFonts w:ascii="Times New Roman" w:hAnsi="Times New Roman" w:cs="Times New Roman"/>
          <w:color w:val="0070C0"/>
        </w:rPr>
        <w:t xml:space="preserve"> </w:t>
      </w:r>
    </w:p>
    <w:p w14:paraId="3C2473E8" w14:textId="77777777" w:rsidR="008312AA" w:rsidRDefault="008312AA">
      <w:pPr>
        <w:pStyle w:val="Loendilik"/>
        <w:ind w:left="1440"/>
        <w:rPr>
          <w:rFonts w:ascii="Times New Roman" w:hAnsi="Times New Roman" w:cs="Times New Roman"/>
        </w:rPr>
      </w:pPr>
    </w:p>
    <w:p w14:paraId="5D7F51CA" w14:textId="77777777" w:rsidR="008312AA" w:rsidRDefault="008312AA">
      <w:pPr>
        <w:rPr>
          <w:rFonts w:ascii="Times New Roman" w:hAnsi="Times New Roman" w:cs="Times New Roman"/>
        </w:rPr>
      </w:pPr>
    </w:p>
    <w:p w14:paraId="787197AF" w14:textId="77777777" w:rsidR="008312AA" w:rsidRDefault="008312AA">
      <w:pPr>
        <w:rPr>
          <w:rFonts w:ascii="Times New Roman" w:hAnsi="Times New Roman" w:cs="Times New Roman"/>
        </w:rPr>
      </w:pPr>
    </w:p>
    <w:p w14:paraId="38D50498" w14:textId="77777777" w:rsidR="008312AA" w:rsidRDefault="008312AA">
      <w:pPr>
        <w:rPr>
          <w:rFonts w:ascii="Times New Roman" w:hAnsi="Times New Roman" w:cs="Times New Roman"/>
        </w:rPr>
      </w:pPr>
    </w:p>
    <w:p w14:paraId="5F1E03F9" w14:textId="77777777" w:rsidR="008312AA" w:rsidRDefault="00000000" w:rsidP="00541032">
      <w:pPr>
        <w:pStyle w:val="Pealkiri1"/>
        <w:ind w:left="-426" w:hanging="6"/>
        <w:jc w:val="left"/>
        <w:rPr>
          <w:rFonts w:ascii="Times New Roman" w:hAnsi="Times New Roman" w:cs="Times New Roman"/>
        </w:rPr>
      </w:pPr>
      <w:bookmarkStart w:id="108" w:name="_Toc157420986"/>
      <w:r>
        <w:rPr>
          <w:rFonts w:ascii="Times New Roman" w:hAnsi="Times New Roman" w:cs="Times New Roman"/>
        </w:rPr>
        <w:t>LISA 1. Kalanduspiirkonna kohaliku arengu strateegia 2021–2027 + koostamise tegevuskava</w:t>
      </w:r>
      <w:bookmarkEnd w:id="108"/>
    </w:p>
    <w:p w14:paraId="1D8B4F9C" w14:textId="77777777" w:rsidR="008312AA" w:rsidRDefault="008312AA"/>
    <w:p w14:paraId="0479D995" w14:textId="77777777" w:rsidR="008312AA" w:rsidRDefault="00000000">
      <w:pPr>
        <w:spacing w:line="276" w:lineRule="auto"/>
        <w:rPr>
          <w:rFonts w:ascii="Times New Roman" w:hAnsi="Times New Roman" w:cs="Times New Roman"/>
        </w:rPr>
      </w:pPr>
      <w:r>
        <w:rPr>
          <w:rFonts w:ascii="Times New Roman" w:hAnsi="Times New Roman" w:cs="Times New Roman"/>
          <w:b/>
          <w:bCs/>
        </w:rPr>
        <w:t>Kaasamisprotsessis osalejad/ sisendi andjad</w:t>
      </w:r>
      <w:r>
        <w:rPr>
          <w:rFonts w:ascii="Times New Roman" w:hAnsi="Times New Roman" w:cs="Times New Roman"/>
        </w:rPr>
        <w:t xml:space="preserve"> – ühingu liikmed, ühingu väliste organisatsioonide esindajad, teised kohaliku kogukonna esindajad (avalikud koosolekud, arutelud, seminarid jms).</w:t>
      </w:r>
    </w:p>
    <w:p w14:paraId="519CEEA9" w14:textId="77777777" w:rsidR="008312AA" w:rsidRDefault="00000000">
      <w:pPr>
        <w:spacing w:line="276" w:lineRule="auto"/>
        <w:rPr>
          <w:rFonts w:ascii="Times New Roman" w:hAnsi="Times New Roman" w:cs="Times New Roman"/>
        </w:rPr>
      </w:pPr>
      <w:r>
        <w:rPr>
          <w:rFonts w:ascii="Times New Roman" w:hAnsi="Times New Roman" w:cs="Times New Roman"/>
          <w:b/>
          <w:bCs/>
        </w:rPr>
        <w:t>Töörühm</w:t>
      </w:r>
      <w:r>
        <w:rPr>
          <w:rFonts w:ascii="Times New Roman" w:hAnsi="Times New Roman" w:cs="Times New Roman"/>
        </w:rPr>
        <w:t xml:space="preserve"> – tegevmeeskond (2 töötajat),  juhatus (7-9 liiget ja 5-7 liiget) (protsessi vältel saadud ideede kogumine, süstematiseerimine ja </w:t>
      </w:r>
      <w:proofErr w:type="spellStart"/>
      <w:r>
        <w:rPr>
          <w:rFonts w:ascii="Times New Roman" w:hAnsi="Times New Roman" w:cs="Times New Roman"/>
        </w:rPr>
        <w:t>prioritiseerimine</w:t>
      </w:r>
      <w:proofErr w:type="spellEnd"/>
      <w:r>
        <w:rPr>
          <w:rFonts w:ascii="Times New Roman" w:hAnsi="Times New Roman" w:cs="Times New Roman"/>
        </w:rPr>
        <w:t>).</w:t>
      </w:r>
    </w:p>
    <w:p w14:paraId="0C7CB8D1" w14:textId="77777777" w:rsidR="008312AA" w:rsidRDefault="00000000">
      <w:pPr>
        <w:spacing w:line="276" w:lineRule="auto"/>
        <w:rPr>
          <w:rFonts w:ascii="Times New Roman" w:hAnsi="Times New Roman" w:cs="Times New Roman"/>
        </w:rPr>
      </w:pPr>
      <w:r>
        <w:rPr>
          <w:rFonts w:ascii="Times New Roman" w:hAnsi="Times New Roman" w:cs="Times New Roman"/>
          <w:b/>
          <w:bCs/>
        </w:rPr>
        <w:t>Juhtrühm</w:t>
      </w:r>
      <w:r>
        <w:rPr>
          <w:rFonts w:ascii="Times New Roman" w:hAnsi="Times New Roman" w:cs="Times New Roman"/>
        </w:rPr>
        <w:t xml:space="preserve"> – tegevmeeskond (organisatoorsed tegevused, strateegia kokku kirjutamine).</w:t>
      </w:r>
    </w:p>
    <w:p w14:paraId="27CAE13A" w14:textId="77777777" w:rsidR="008312AA" w:rsidRDefault="00000000">
      <w:pPr>
        <w:spacing w:line="276" w:lineRule="auto"/>
        <w:rPr>
          <w:rFonts w:ascii="Times New Roman" w:hAnsi="Times New Roman" w:cs="Times New Roman"/>
        </w:rPr>
      </w:pPr>
      <w:r>
        <w:rPr>
          <w:rFonts w:ascii="Times New Roman" w:hAnsi="Times New Roman" w:cs="Times New Roman"/>
          <w:b/>
          <w:bCs/>
        </w:rPr>
        <w:t>Ühingu väline konsultant</w:t>
      </w:r>
      <w:r>
        <w:rPr>
          <w:rFonts w:ascii="Times New Roman" w:hAnsi="Times New Roman" w:cs="Times New Roman"/>
        </w:rPr>
        <w:t xml:space="preserve"> – (võimalikele puudustele, vastuoludele/ ebakõladele viitamine, teksti redigeerimine) – OÜ </w:t>
      </w:r>
      <w:proofErr w:type="spellStart"/>
      <w:r>
        <w:rPr>
          <w:rFonts w:ascii="Times New Roman" w:hAnsi="Times New Roman" w:cs="Times New Roman"/>
        </w:rPr>
        <w:t>Cumulus</w:t>
      </w:r>
      <w:proofErr w:type="spellEnd"/>
      <w:r>
        <w:rPr>
          <w:rFonts w:ascii="Times New Roman" w:hAnsi="Times New Roman" w:cs="Times New Roman"/>
        </w:rPr>
        <w:t xml:space="preserve"> Consulting</w:t>
      </w:r>
    </w:p>
    <w:tbl>
      <w:tblPr>
        <w:tblStyle w:val="Kontuurtabel"/>
        <w:tblW w:w="9356" w:type="dxa"/>
        <w:tblInd w:w="-5" w:type="dxa"/>
        <w:tblLayout w:type="fixed"/>
        <w:tblLook w:val="04A0" w:firstRow="1" w:lastRow="0" w:firstColumn="1" w:lastColumn="0" w:noHBand="0" w:noVBand="1"/>
      </w:tblPr>
      <w:tblGrid>
        <w:gridCol w:w="2126"/>
        <w:gridCol w:w="7230"/>
      </w:tblGrid>
      <w:tr w:rsidR="008312AA" w14:paraId="123500F5" w14:textId="77777777">
        <w:tc>
          <w:tcPr>
            <w:tcW w:w="2126" w:type="dxa"/>
            <w:shd w:val="clear" w:color="auto" w:fill="D5DCE4" w:themeFill="text2" w:themeFillTint="33"/>
          </w:tcPr>
          <w:p w14:paraId="2D2F237F"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Ajaskaala</w:t>
            </w:r>
          </w:p>
        </w:tc>
        <w:tc>
          <w:tcPr>
            <w:tcW w:w="7229" w:type="dxa"/>
            <w:shd w:val="clear" w:color="auto" w:fill="D5DCE4" w:themeFill="text2" w:themeFillTint="33"/>
          </w:tcPr>
          <w:p w14:paraId="0471862C"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Tegevused</w:t>
            </w:r>
          </w:p>
        </w:tc>
      </w:tr>
      <w:tr w:rsidR="008312AA" w14:paraId="68DF23B6" w14:textId="77777777">
        <w:tc>
          <w:tcPr>
            <w:tcW w:w="2126" w:type="dxa"/>
          </w:tcPr>
          <w:p w14:paraId="1672689C" w14:textId="77777777" w:rsidR="008312AA" w:rsidRDefault="008312AA">
            <w:pPr>
              <w:spacing w:line="276" w:lineRule="auto"/>
              <w:jc w:val="left"/>
              <w:rPr>
                <w:rFonts w:ascii="Times New Roman" w:eastAsia="Times New Roman" w:hAnsi="Times New Roman" w:cs="Times New Roman"/>
                <w:b/>
                <w:bCs/>
              </w:rPr>
            </w:pPr>
          </w:p>
          <w:p w14:paraId="3E23E597" w14:textId="77777777" w:rsidR="008312AA" w:rsidRDefault="008312AA">
            <w:pPr>
              <w:spacing w:line="276" w:lineRule="auto"/>
              <w:jc w:val="left"/>
              <w:rPr>
                <w:rFonts w:ascii="Times New Roman" w:eastAsia="Times New Roman" w:hAnsi="Times New Roman" w:cs="Times New Roman"/>
                <w:b/>
                <w:bCs/>
              </w:rPr>
            </w:pPr>
          </w:p>
          <w:p w14:paraId="022B9F30" w14:textId="77777777" w:rsidR="008312AA" w:rsidRDefault="008312AA">
            <w:pPr>
              <w:spacing w:line="276" w:lineRule="auto"/>
              <w:jc w:val="left"/>
              <w:rPr>
                <w:rFonts w:ascii="Times New Roman" w:eastAsia="Times New Roman" w:hAnsi="Times New Roman" w:cs="Times New Roman"/>
                <w:b/>
                <w:bCs/>
              </w:rPr>
            </w:pPr>
          </w:p>
          <w:p w14:paraId="5E8692EF" w14:textId="77777777" w:rsidR="008312AA" w:rsidRDefault="008312AA">
            <w:pPr>
              <w:spacing w:line="276" w:lineRule="auto"/>
              <w:jc w:val="left"/>
              <w:rPr>
                <w:rFonts w:ascii="Times New Roman" w:eastAsia="Times New Roman" w:hAnsi="Times New Roman" w:cs="Times New Roman"/>
                <w:b/>
                <w:bCs/>
              </w:rPr>
            </w:pPr>
          </w:p>
          <w:p w14:paraId="6BBFB1E4" w14:textId="77777777" w:rsidR="008312AA" w:rsidRDefault="008312AA">
            <w:pPr>
              <w:spacing w:line="276" w:lineRule="auto"/>
              <w:jc w:val="left"/>
              <w:rPr>
                <w:rFonts w:ascii="Times New Roman" w:eastAsia="Times New Roman" w:hAnsi="Times New Roman" w:cs="Times New Roman"/>
                <w:b/>
                <w:bCs/>
              </w:rPr>
            </w:pPr>
          </w:p>
          <w:p w14:paraId="34186B38" w14:textId="77777777" w:rsidR="008312AA" w:rsidRDefault="008312AA">
            <w:pPr>
              <w:spacing w:line="276" w:lineRule="auto"/>
              <w:jc w:val="left"/>
              <w:rPr>
                <w:rFonts w:ascii="Times New Roman" w:eastAsia="Times New Roman" w:hAnsi="Times New Roman" w:cs="Times New Roman"/>
                <w:b/>
                <w:bCs/>
              </w:rPr>
            </w:pPr>
          </w:p>
          <w:p w14:paraId="27D612B2" w14:textId="77777777" w:rsidR="008312AA" w:rsidRDefault="008312AA">
            <w:pPr>
              <w:spacing w:line="276" w:lineRule="auto"/>
              <w:jc w:val="left"/>
              <w:rPr>
                <w:rFonts w:ascii="Times New Roman" w:eastAsia="Times New Roman" w:hAnsi="Times New Roman" w:cs="Times New Roman"/>
                <w:b/>
                <w:bCs/>
              </w:rPr>
            </w:pPr>
          </w:p>
          <w:p w14:paraId="5A97F7DA" w14:textId="77777777" w:rsidR="008312AA" w:rsidRDefault="008312AA">
            <w:pPr>
              <w:spacing w:line="276" w:lineRule="auto"/>
              <w:jc w:val="left"/>
              <w:rPr>
                <w:rFonts w:ascii="Times New Roman" w:eastAsia="Times New Roman" w:hAnsi="Times New Roman" w:cs="Times New Roman"/>
                <w:b/>
                <w:bCs/>
              </w:rPr>
            </w:pPr>
          </w:p>
          <w:p w14:paraId="130C4116" w14:textId="77777777" w:rsidR="008312AA" w:rsidRDefault="008312AA">
            <w:pPr>
              <w:spacing w:line="276" w:lineRule="auto"/>
              <w:jc w:val="left"/>
              <w:rPr>
                <w:rFonts w:ascii="Times New Roman" w:eastAsia="Times New Roman" w:hAnsi="Times New Roman" w:cs="Times New Roman"/>
                <w:b/>
                <w:bCs/>
              </w:rPr>
            </w:pPr>
          </w:p>
          <w:p w14:paraId="5829A921" w14:textId="77777777" w:rsidR="008312AA" w:rsidRDefault="008312AA">
            <w:pPr>
              <w:spacing w:line="276" w:lineRule="auto"/>
              <w:jc w:val="left"/>
              <w:rPr>
                <w:rFonts w:ascii="Times New Roman" w:hAnsi="Times New Roman" w:cs="Times New Roman"/>
                <w:b/>
                <w:bCs/>
              </w:rPr>
            </w:pPr>
          </w:p>
          <w:p w14:paraId="514A4369" w14:textId="77777777" w:rsidR="008312AA" w:rsidRDefault="008312AA">
            <w:pPr>
              <w:spacing w:line="276" w:lineRule="auto"/>
              <w:jc w:val="left"/>
              <w:rPr>
                <w:rFonts w:ascii="Times New Roman" w:hAnsi="Times New Roman" w:cs="Times New Roman"/>
                <w:b/>
                <w:bCs/>
              </w:rPr>
            </w:pPr>
          </w:p>
          <w:p w14:paraId="2908E69E" w14:textId="77777777" w:rsidR="008312AA" w:rsidRDefault="008312AA">
            <w:pPr>
              <w:spacing w:line="276" w:lineRule="auto"/>
              <w:jc w:val="left"/>
              <w:rPr>
                <w:rFonts w:ascii="Times New Roman" w:hAnsi="Times New Roman" w:cs="Times New Roman"/>
                <w:b/>
                <w:bCs/>
              </w:rPr>
            </w:pPr>
          </w:p>
          <w:p w14:paraId="5583FC36" w14:textId="77777777" w:rsidR="008312AA" w:rsidRDefault="008312AA">
            <w:pPr>
              <w:spacing w:line="276" w:lineRule="auto"/>
              <w:jc w:val="left"/>
              <w:rPr>
                <w:rFonts w:ascii="Times New Roman" w:hAnsi="Times New Roman" w:cs="Times New Roman"/>
                <w:b/>
                <w:bCs/>
              </w:rPr>
            </w:pPr>
          </w:p>
          <w:p w14:paraId="436F8207" w14:textId="77777777" w:rsidR="008312AA" w:rsidRDefault="008312AA">
            <w:pPr>
              <w:spacing w:line="276" w:lineRule="auto"/>
              <w:jc w:val="left"/>
              <w:rPr>
                <w:rFonts w:ascii="Times New Roman" w:hAnsi="Times New Roman" w:cs="Times New Roman"/>
                <w:b/>
                <w:bCs/>
              </w:rPr>
            </w:pPr>
          </w:p>
          <w:p w14:paraId="27DC1B4A" w14:textId="77777777" w:rsidR="008312AA" w:rsidRDefault="008312AA">
            <w:pPr>
              <w:spacing w:line="276" w:lineRule="auto"/>
              <w:jc w:val="left"/>
              <w:rPr>
                <w:rFonts w:ascii="Times New Roman" w:hAnsi="Times New Roman" w:cs="Times New Roman"/>
                <w:b/>
                <w:bCs/>
              </w:rPr>
            </w:pPr>
          </w:p>
          <w:p w14:paraId="420FAA11" w14:textId="77777777" w:rsidR="008312AA" w:rsidRDefault="008312AA">
            <w:pPr>
              <w:spacing w:line="276" w:lineRule="auto"/>
              <w:jc w:val="left"/>
              <w:rPr>
                <w:rFonts w:ascii="Times New Roman" w:hAnsi="Times New Roman" w:cs="Times New Roman"/>
                <w:b/>
                <w:bCs/>
              </w:rPr>
            </w:pPr>
          </w:p>
          <w:p w14:paraId="6DFC3340" w14:textId="77777777" w:rsidR="008312AA" w:rsidRDefault="008312AA">
            <w:pPr>
              <w:spacing w:line="276" w:lineRule="auto"/>
              <w:jc w:val="left"/>
              <w:rPr>
                <w:rFonts w:ascii="Times New Roman" w:hAnsi="Times New Roman" w:cs="Times New Roman"/>
                <w:b/>
                <w:bCs/>
              </w:rPr>
            </w:pPr>
          </w:p>
          <w:p w14:paraId="7F471FB9" w14:textId="77777777" w:rsidR="008312AA" w:rsidRDefault="008312AA">
            <w:pPr>
              <w:spacing w:line="276" w:lineRule="auto"/>
              <w:jc w:val="left"/>
              <w:rPr>
                <w:rFonts w:ascii="Times New Roman" w:hAnsi="Times New Roman" w:cs="Times New Roman"/>
                <w:b/>
                <w:bCs/>
              </w:rPr>
            </w:pPr>
          </w:p>
          <w:p w14:paraId="6698F79D" w14:textId="77777777" w:rsidR="008312AA" w:rsidRDefault="008312AA">
            <w:pPr>
              <w:spacing w:line="276" w:lineRule="auto"/>
              <w:jc w:val="left"/>
              <w:rPr>
                <w:rFonts w:ascii="Times New Roman" w:hAnsi="Times New Roman" w:cs="Times New Roman"/>
                <w:b/>
                <w:bCs/>
              </w:rPr>
            </w:pPr>
          </w:p>
          <w:p w14:paraId="1560222C" w14:textId="77777777" w:rsidR="008312AA" w:rsidRDefault="008312AA">
            <w:pPr>
              <w:spacing w:line="276" w:lineRule="auto"/>
              <w:jc w:val="left"/>
              <w:rPr>
                <w:rFonts w:ascii="Times New Roman" w:hAnsi="Times New Roman" w:cs="Times New Roman"/>
                <w:b/>
                <w:bCs/>
              </w:rPr>
            </w:pPr>
          </w:p>
          <w:p w14:paraId="240BA72F" w14:textId="77777777" w:rsidR="008312AA" w:rsidRDefault="008312AA">
            <w:pPr>
              <w:spacing w:line="276" w:lineRule="auto"/>
              <w:jc w:val="left"/>
              <w:rPr>
                <w:rFonts w:ascii="Times New Roman" w:hAnsi="Times New Roman" w:cs="Times New Roman"/>
                <w:b/>
                <w:bCs/>
              </w:rPr>
            </w:pPr>
          </w:p>
          <w:p w14:paraId="6E198E90" w14:textId="77777777" w:rsidR="008312AA" w:rsidRDefault="008312AA">
            <w:pPr>
              <w:spacing w:line="276" w:lineRule="auto"/>
              <w:jc w:val="left"/>
              <w:rPr>
                <w:rFonts w:ascii="Times New Roman" w:hAnsi="Times New Roman" w:cs="Times New Roman"/>
                <w:b/>
                <w:bCs/>
              </w:rPr>
            </w:pPr>
          </w:p>
          <w:p w14:paraId="657F1801" w14:textId="77777777" w:rsidR="008312AA" w:rsidRDefault="008312AA">
            <w:pPr>
              <w:spacing w:line="276" w:lineRule="auto"/>
              <w:jc w:val="left"/>
              <w:rPr>
                <w:rFonts w:ascii="Times New Roman" w:hAnsi="Times New Roman" w:cs="Times New Roman"/>
                <w:b/>
                <w:bCs/>
              </w:rPr>
            </w:pPr>
          </w:p>
          <w:p w14:paraId="57C8DB91" w14:textId="77777777" w:rsidR="008312AA" w:rsidRDefault="008312AA">
            <w:pPr>
              <w:spacing w:line="276" w:lineRule="auto"/>
              <w:jc w:val="left"/>
              <w:rPr>
                <w:rFonts w:ascii="Times New Roman" w:hAnsi="Times New Roman" w:cs="Times New Roman"/>
                <w:b/>
                <w:bCs/>
              </w:rPr>
            </w:pPr>
          </w:p>
          <w:p w14:paraId="4F9C3785" w14:textId="77777777" w:rsidR="008312AA" w:rsidRDefault="008312AA">
            <w:pPr>
              <w:spacing w:line="276" w:lineRule="auto"/>
              <w:jc w:val="left"/>
              <w:rPr>
                <w:rFonts w:ascii="Times New Roman" w:hAnsi="Times New Roman" w:cs="Times New Roman"/>
                <w:b/>
                <w:bCs/>
              </w:rPr>
            </w:pPr>
          </w:p>
          <w:p w14:paraId="370ACE19" w14:textId="77777777" w:rsidR="008312AA" w:rsidRDefault="008312AA">
            <w:pPr>
              <w:spacing w:line="276" w:lineRule="auto"/>
              <w:jc w:val="left"/>
              <w:rPr>
                <w:rFonts w:ascii="Times New Roman" w:hAnsi="Times New Roman" w:cs="Times New Roman"/>
                <w:b/>
                <w:bCs/>
              </w:rPr>
            </w:pPr>
          </w:p>
          <w:p w14:paraId="34915453" w14:textId="77777777" w:rsidR="008312AA" w:rsidRDefault="008312AA">
            <w:pPr>
              <w:spacing w:line="276" w:lineRule="auto"/>
              <w:jc w:val="left"/>
              <w:rPr>
                <w:rFonts w:ascii="Times New Roman" w:hAnsi="Times New Roman" w:cs="Times New Roman"/>
                <w:b/>
                <w:bCs/>
              </w:rPr>
            </w:pPr>
          </w:p>
          <w:p w14:paraId="465CB351" w14:textId="77777777" w:rsidR="008312AA" w:rsidRDefault="008312AA">
            <w:pPr>
              <w:spacing w:line="276" w:lineRule="auto"/>
              <w:jc w:val="left"/>
              <w:rPr>
                <w:rFonts w:ascii="Times New Roman" w:hAnsi="Times New Roman" w:cs="Times New Roman"/>
                <w:b/>
                <w:bCs/>
              </w:rPr>
            </w:pPr>
          </w:p>
          <w:p w14:paraId="6D5808FC" w14:textId="77777777" w:rsidR="008312AA" w:rsidRDefault="008312AA">
            <w:pPr>
              <w:spacing w:line="276" w:lineRule="auto"/>
              <w:jc w:val="left"/>
              <w:rPr>
                <w:rFonts w:ascii="Times New Roman" w:hAnsi="Times New Roman" w:cs="Times New Roman"/>
                <w:b/>
                <w:bCs/>
              </w:rPr>
            </w:pPr>
          </w:p>
          <w:p w14:paraId="655D8E3A" w14:textId="77777777" w:rsidR="008312AA" w:rsidRDefault="008312AA">
            <w:pPr>
              <w:spacing w:line="276" w:lineRule="auto"/>
              <w:jc w:val="left"/>
              <w:rPr>
                <w:rFonts w:ascii="Times New Roman" w:hAnsi="Times New Roman" w:cs="Times New Roman"/>
                <w:b/>
                <w:bCs/>
              </w:rPr>
            </w:pPr>
          </w:p>
          <w:p w14:paraId="51262973" w14:textId="77777777" w:rsidR="008312AA" w:rsidRDefault="008312AA">
            <w:pPr>
              <w:spacing w:line="276" w:lineRule="auto"/>
              <w:jc w:val="left"/>
              <w:rPr>
                <w:rFonts w:ascii="Times New Roman" w:hAnsi="Times New Roman" w:cs="Times New Roman"/>
                <w:b/>
                <w:bCs/>
              </w:rPr>
            </w:pPr>
          </w:p>
          <w:p w14:paraId="40110D93" w14:textId="77777777" w:rsidR="008312AA" w:rsidRDefault="008312AA">
            <w:pPr>
              <w:spacing w:line="276" w:lineRule="auto"/>
              <w:jc w:val="left"/>
              <w:rPr>
                <w:rFonts w:ascii="Times New Roman" w:hAnsi="Times New Roman" w:cs="Times New Roman"/>
                <w:b/>
                <w:bCs/>
              </w:rPr>
            </w:pPr>
          </w:p>
          <w:p w14:paraId="69429059" w14:textId="77777777" w:rsidR="008312AA" w:rsidRDefault="008312AA">
            <w:pPr>
              <w:spacing w:line="276" w:lineRule="auto"/>
              <w:jc w:val="left"/>
              <w:rPr>
                <w:rFonts w:ascii="Times New Roman" w:hAnsi="Times New Roman" w:cs="Times New Roman"/>
                <w:b/>
                <w:bCs/>
              </w:rPr>
            </w:pPr>
          </w:p>
          <w:p w14:paraId="39A89F44" w14:textId="77777777" w:rsidR="008312AA" w:rsidRDefault="008312AA">
            <w:pPr>
              <w:spacing w:line="276" w:lineRule="auto"/>
              <w:jc w:val="left"/>
              <w:rPr>
                <w:rFonts w:ascii="Times New Roman" w:hAnsi="Times New Roman" w:cs="Times New Roman"/>
                <w:b/>
                <w:bCs/>
              </w:rPr>
            </w:pPr>
          </w:p>
          <w:p w14:paraId="14F2D3FD" w14:textId="77777777" w:rsidR="008312AA" w:rsidRDefault="008312AA">
            <w:pPr>
              <w:spacing w:line="276" w:lineRule="auto"/>
              <w:jc w:val="left"/>
              <w:rPr>
                <w:rFonts w:ascii="Times New Roman" w:hAnsi="Times New Roman" w:cs="Times New Roman"/>
                <w:b/>
                <w:bCs/>
              </w:rPr>
            </w:pPr>
          </w:p>
          <w:p w14:paraId="42BB540C" w14:textId="77777777" w:rsidR="008312AA" w:rsidRDefault="008312AA">
            <w:pPr>
              <w:spacing w:line="276" w:lineRule="auto"/>
              <w:jc w:val="left"/>
              <w:rPr>
                <w:rFonts w:ascii="Times New Roman" w:hAnsi="Times New Roman" w:cs="Times New Roman"/>
                <w:b/>
                <w:bCs/>
              </w:rPr>
            </w:pPr>
          </w:p>
          <w:p w14:paraId="2794209C"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Mai 2021 –</w:t>
            </w:r>
          </w:p>
          <w:p w14:paraId="78B3C8C0" w14:textId="77777777" w:rsidR="008312AA" w:rsidRDefault="00000000">
            <w:pPr>
              <w:spacing w:line="276" w:lineRule="auto"/>
              <w:jc w:val="left"/>
              <w:rPr>
                <w:rFonts w:ascii="Times New Roman" w:eastAsia="Times New Roman" w:hAnsi="Times New Roman" w:cs="Times New Roman"/>
                <w:b/>
                <w:bCs/>
              </w:rPr>
            </w:pPr>
            <w:r>
              <w:rPr>
                <w:rFonts w:ascii="Times New Roman" w:hAnsi="Times New Roman" w:cs="Times New Roman"/>
                <w:b/>
                <w:bCs/>
              </w:rPr>
              <w:t>aprill 2022</w:t>
            </w:r>
          </w:p>
          <w:p w14:paraId="242963EA" w14:textId="77777777" w:rsidR="008312AA" w:rsidRDefault="008312AA">
            <w:pPr>
              <w:spacing w:line="276" w:lineRule="auto"/>
              <w:jc w:val="left"/>
              <w:rPr>
                <w:rFonts w:ascii="Times New Roman" w:eastAsia="Times New Roman" w:hAnsi="Times New Roman" w:cs="Times New Roman"/>
                <w:b/>
                <w:bCs/>
              </w:rPr>
            </w:pPr>
          </w:p>
          <w:p w14:paraId="62EACCB7" w14:textId="77777777" w:rsidR="008312AA" w:rsidRDefault="008312AA">
            <w:pPr>
              <w:spacing w:line="276" w:lineRule="auto"/>
              <w:jc w:val="left"/>
              <w:rPr>
                <w:rFonts w:ascii="Times New Roman" w:eastAsia="Times New Roman" w:hAnsi="Times New Roman" w:cs="Times New Roman"/>
                <w:b/>
                <w:bCs/>
              </w:rPr>
            </w:pPr>
          </w:p>
          <w:p w14:paraId="64BC77F9" w14:textId="77777777" w:rsidR="008312AA" w:rsidRDefault="008312AA">
            <w:pPr>
              <w:spacing w:line="276" w:lineRule="auto"/>
              <w:jc w:val="left"/>
              <w:rPr>
                <w:rFonts w:ascii="Times New Roman" w:eastAsia="Times New Roman" w:hAnsi="Times New Roman" w:cs="Times New Roman"/>
                <w:b/>
                <w:bCs/>
              </w:rPr>
            </w:pPr>
          </w:p>
          <w:p w14:paraId="2D537016" w14:textId="77777777" w:rsidR="008312AA" w:rsidRDefault="008312AA">
            <w:pPr>
              <w:spacing w:line="276" w:lineRule="auto"/>
              <w:jc w:val="left"/>
              <w:rPr>
                <w:rFonts w:ascii="Times New Roman" w:eastAsia="Times New Roman" w:hAnsi="Times New Roman" w:cs="Times New Roman"/>
                <w:b/>
                <w:bCs/>
              </w:rPr>
            </w:pPr>
          </w:p>
          <w:p w14:paraId="74FFD3A8" w14:textId="77777777" w:rsidR="008312AA" w:rsidRDefault="008312AA">
            <w:pPr>
              <w:spacing w:line="276" w:lineRule="auto"/>
              <w:jc w:val="left"/>
              <w:rPr>
                <w:rFonts w:ascii="Times New Roman" w:hAnsi="Times New Roman" w:cs="Times New Roman"/>
                <w:b/>
                <w:bCs/>
              </w:rPr>
            </w:pPr>
          </w:p>
        </w:tc>
        <w:tc>
          <w:tcPr>
            <w:tcW w:w="7229" w:type="dxa"/>
          </w:tcPr>
          <w:p w14:paraId="1567C1CE" w14:textId="77777777" w:rsidR="008312AA" w:rsidRDefault="00000000">
            <w:pPr>
              <w:spacing w:line="276" w:lineRule="auto"/>
              <w:jc w:val="left"/>
              <w:rPr>
                <w:rFonts w:ascii="Times New Roman" w:hAnsi="Times New Roman" w:cs="Times New Roman"/>
                <w:b/>
                <w:bCs/>
              </w:rPr>
            </w:pPr>
            <w:r>
              <w:rPr>
                <w:rFonts w:ascii="Times New Roman" w:eastAsia="Times New Roman" w:hAnsi="Times New Roman" w:cs="Times New Roman"/>
                <w:b/>
                <w:bCs/>
              </w:rPr>
              <w:lastRenderedPageBreak/>
              <w:t>I Ettevalmistav periood (</w:t>
            </w:r>
            <w:r>
              <w:rPr>
                <w:rFonts w:ascii="Times New Roman" w:hAnsi="Times New Roman" w:cs="Times New Roman"/>
                <w:b/>
                <w:bCs/>
              </w:rPr>
              <w:t>strateegia koostamise koolitustel osalemine</w:t>
            </w:r>
            <w:r>
              <w:rPr>
                <w:rFonts w:ascii="Times New Roman" w:hAnsi="Times New Roman" w:cs="Times New Roman"/>
              </w:rPr>
              <w:t xml:space="preserve">, </w:t>
            </w:r>
            <w:r>
              <w:rPr>
                <w:rFonts w:ascii="Times New Roman" w:hAnsi="Times New Roman" w:cs="Times New Roman"/>
                <w:b/>
                <w:bCs/>
              </w:rPr>
              <w:t>alus</w:t>
            </w:r>
            <w:r>
              <w:rPr>
                <w:rFonts w:ascii="Times New Roman" w:eastAsia="Times New Roman" w:hAnsi="Times New Roman" w:cs="Times New Roman"/>
                <w:b/>
                <w:bCs/>
              </w:rPr>
              <w:t>andmete ja sisendite kogumine).</w:t>
            </w:r>
          </w:p>
          <w:p w14:paraId="4882B35C" w14:textId="77777777" w:rsidR="008312AA" w:rsidRDefault="00000000">
            <w:pPr>
              <w:spacing w:line="276" w:lineRule="auto"/>
              <w:jc w:val="left"/>
              <w:rPr>
                <w:rFonts w:ascii="Times New Roman" w:hAnsi="Times New Roman" w:cs="Times New Roman"/>
                <w:i/>
                <w:iCs/>
              </w:rPr>
            </w:pPr>
            <w:r>
              <w:rPr>
                <w:rFonts w:ascii="Times New Roman" w:hAnsi="Times New Roman" w:cs="Times New Roman"/>
                <w:i/>
                <w:iCs/>
              </w:rPr>
              <w:t>Arengustrateegia koostamise ja kaasamisprotsessi algatamine, sisendite kogumine, avalikud koosolekud/arutelud/ seminarid/ strateegia koostamise koolitusel osalemine. Erinevate osapoolte visioon, eesmärgid, strateegilised valikud, tegevussuunad, ideede korje jms.</w:t>
            </w:r>
          </w:p>
          <w:p w14:paraId="59279AC0" w14:textId="77777777" w:rsidR="008312AA" w:rsidRDefault="00000000">
            <w:pPr>
              <w:spacing w:line="276" w:lineRule="auto"/>
              <w:jc w:val="left"/>
              <w:rPr>
                <w:rFonts w:ascii="Times New Roman" w:hAnsi="Times New Roman" w:cs="Times New Roman"/>
                <w:bCs/>
              </w:rPr>
            </w:pPr>
            <w:r>
              <w:rPr>
                <w:rFonts w:ascii="Times New Roman" w:hAnsi="Times New Roman" w:cs="Times New Roman"/>
              </w:rPr>
              <w:t>21.05.2021. a uue eelarveperioodi strateegia avalik arutelukoosolek Nasva klubis (</w:t>
            </w:r>
            <w:r>
              <w:rPr>
                <w:rFonts w:ascii="Times New Roman" w:hAnsi="Times New Roman" w:cs="Times New Roman"/>
                <w:bCs/>
              </w:rPr>
              <w:t>EMK(V)F  prioriteedid 2021 – 2027, hinnang organisatsiooni hetkeolukorrale, SWOT analüüs 2014 ja 2021, mis on muutunud?</w:t>
            </w:r>
          </w:p>
          <w:p w14:paraId="5F6898C8" w14:textId="77777777" w:rsidR="008312AA" w:rsidRDefault="00000000">
            <w:pPr>
              <w:pStyle w:val="Standard"/>
              <w:rPr>
                <w:rFonts w:ascii="Times New Roman" w:hAnsi="Times New Roman"/>
              </w:rPr>
            </w:pPr>
            <w:bookmarkStart w:id="109" w:name="_Hlk153966601"/>
            <w:r>
              <w:rPr>
                <w:rFonts w:ascii="Times New Roman" w:hAnsi="Times New Roman"/>
              </w:rPr>
              <w:t xml:space="preserve">09.07.2021. a seminar- ümarlaud „Eesti Rannakalanduse hetkeseis ja tulevikuvaade“ </w:t>
            </w:r>
            <w:bookmarkEnd w:id="109"/>
            <w:r>
              <w:rPr>
                <w:rFonts w:ascii="Times New Roman" w:hAnsi="Times New Roman"/>
              </w:rPr>
              <w:t>(Teema „Ülevaade Eesti s.h. Saaremaa, Hiiumaa, Liivi- Lahe rannikumere kalavarude hetkeolukorrast (ohud, millised on võimalused kalavarude olukorra parendamiseks, milline on prognoositav tulevik kui lähiajal midagi ette ei võeta jms). Markus Vetemaa.</w:t>
            </w:r>
          </w:p>
          <w:p w14:paraId="4ABA131D" w14:textId="77777777" w:rsidR="008312AA" w:rsidRDefault="00000000">
            <w:pPr>
              <w:pStyle w:val="Standard"/>
              <w:rPr>
                <w:rFonts w:ascii="Times New Roman" w:hAnsi="Times New Roman"/>
              </w:rPr>
            </w:pPr>
            <w:r>
              <w:rPr>
                <w:rFonts w:ascii="Times New Roman" w:hAnsi="Times New Roman"/>
              </w:rPr>
              <w:t xml:space="preserve">Teema „Ülevaade Eesti rannikuvetes elunevatest hallhüljestest (hallhüljeste olukord, millised oleksid võimalikud meetmed hallhülge arvukuse normipiires hoidmiseks jms). Mart </w:t>
            </w:r>
            <w:proofErr w:type="spellStart"/>
            <w:r>
              <w:rPr>
                <w:rFonts w:ascii="Times New Roman" w:hAnsi="Times New Roman"/>
              </w:rPr>
              <w:t>Jüssi</w:t>
            </w:r>
            <w:proofErr w:type="spellEnd"/>
            <w:r>
              <w:rPr>
                <w:rFonts w:ascii="Times New Roman" w:hAnsi="Times New Roman"/>
              </w:rPr>
              <w:t>.</w:t>
            </w:r>
          </w:p>
          <w:p w14:paraId="5F7C0CEF" w14:textId="77777777" w:rsidR="008312AA" w:rsidRDefault="00000000">
            <w:pPr>
              <w:pStyle w:val="Standard"/>
              <w:rPr>
                <w:rFonts w:ascii="Times New Roman" w:hAnsi="Times New Roman"/>
              </w:rPr>
            </w:pPr>
            <w:r>
              <w:rPr>
                <w:rFonts w:ascii="Times New Roman" w:hAnsi="Times New Roman"/>
              </w:rPr>
              <w:t xml:space="preserve">Teema “Ülevaade sellest, millised võiksid olla võimalikud riigi poolsed, reaalselt elluviidavad lahendused hallhüljeste ja kormoranide poolt tekitatud kahjude vähendamiseks, rannakaluritele antavad saamata jäänud tulu hüvitamise võimalused vms tekkinud olukorda leevendada võivad </w:t>
            </w:r>
            <w:r>
              <w:rPr>
                <w:rFonts w:ascii="Times New Roman" w:hAnsi="Times New Roman"/>
              </w:rPr>
              <w:lastRenderedPageBreak/>
              <w:t>riigipoolsed meetmed.“ Tarvo Roose. Arutelu ja edasise tegevusplaani formuleerimine.</w:t>
            </w:r>
          </w:p>
          <w:p w14:paraId="35091F04" w14:textId="77777777" w:rsidR="008312AA" w:rsidRDefault="00000000">
            <w:pPr>
              <w:pStyle w:val="Standard"/>
              <w:rPr>
                <w:rFonts w:ascii="Times New Roman" w:hAnsi="Times New Roman"/>
              </w:rPr>
            </w:pPr>
            <w:bookmarkStart w:id="110" w:name="_Hlk153966818"/>
            <w:r>
              <w:rPr>
                <w:rFonts w:ascii="Times New Roman" w:hAnsi="Times New Roman"/>
              </w:rPr>
              <w:t xml:space="preserve">16.-17.08.2021 - algatusrühmade seminar Lääne-Virumaal. </w:t>
            </w:r>
            <w:hyperlink r:id="rId105">
              <w:r>
                <w:rPr>
                  <w:rStyle w:val="Hperlink"/>
                  <w:rFonts w:ascii="Times New Roman" w:hAnsi="Times New Roman"/>
                  <w:color w:val="002060"/>
                </w:rPr>
                <w:t>EMKVF 2021–2027 strateegiale esitatavad nõuded</w:t>
              </w:r>
            </w:hyperlink>
            <w:r>
              <w:rPr>
                <w:rFonts w:ascii="Times New Roman" w:hAnsi="Times New Roman"/>
                <w:color w:val="002060"/>
              </w:rPr>
              <w:t>,</w:t>
            </w:r>
            <w:r>
              <w:rPr>
                <w:rFonts w:ascii="Times New Roman" w:hAnsi="Times New Roman"/>
              </w:rPr>
              <w:t xml:space="preserve"> hindamine, sisu ja ajakava strateegiate koostamiseks</w:t>
            </w:r>
            <w:bookmarkEnd w:id="110"/>
            <w:r>
              <w:rPr>
                <w:rFonts w:ascii="Times New Roman" w:hAnsi="Times New Roman"/>
              </w:rPr>
              <w:t>.</w:t>
            </w:r>
          </w:p>
          <w:p w14:paraId="39F7AF66" w14:textId="77777777" w:rsidR="008312AA" w:rsidRDefault="00000000">
            <w:pPr>
              <w:pStyle w:val="Standard"/>
              <w:rPr>
                <w:rFonts w:ascii="Times New Roman" w:hAnsi="Times New Roman"/>
              </w:rPr>
            </w:pPr>
            <w:r>
              <w:rPr>
                <w:rFonts w:ascii="Times New Roman" w:hAnsi="Times New Roman"/>
              </w:rPr>
              <w:t>6. – 7.10.2021. a osalemine koolitusel „Strateegia koostamine uueks eelarveperioodiks kalanduspiirkondade vaates“ Civitta</w:t>
            </w:r>
          </w:p>
          <w:p w14:paraId="6E10B8D0" w14:textId="77777777" w:rsidR="008312AA" w:rsidRDefault="00000000">
            <w:pPr>
              <w:pStyle w:val="Standard"/>
              <w:rPr>
                <w:rFonts w:ascii="Times New Roman" w:hAnsi="Times New Roman"/>
              </w:rPr>
            </w:pPr>
            <w:r>
              <w:rPr>
                <w:rFonts w:ascii="Times New Roman" w:hAnsi="Times New Roman"/>
              </w:rPr>
              <w:t>1.-2. 12.2021 - algatusrühmade seminar Haapsalus. EMKVF rakenduskava, määruse ettevalmistamine ja strateegiad.</w:t>
            </w:r>
          </w:p>
          <w:p w14:paraId="128EFED3" w14:textId="77777777" w:rsidR="008312AA" w:rsidRDefault="00000000">
            <w:pPr>
              <w:spacing w:beforeAutospacing="1" w:afterAutospacing="1"/>
              <w:jc w:val="left"/>
              <w:rPr>
                <w:rFonts w:ascii="Times New Roman" w:eastAsia="Times New Roman" w:hAnsi="Times New Roman" w:cs="Times New Roman"/>
                <w:color w:val="333333"/>
              </w:rPr>
            </w:pPr>
            <w:bookmarkStart w:id="111" w:name="_Hlk153973269"/>
            <w:r>
              <w:rPr>
                <w:rFonts w:ascii="Times New Roman" w:hAnsi="Times New Roman" w:cs="Times New Roman"/>
              </w:rPr>
              <w:t xml:space="preserve">2. 02.2022. a arenguvajaduse küsimustik edastamine ühingu liikmetele. </w:t>
            </w:r>
            <w:bookmarkEnd w:id="111"/>
            <w:r>
              <w:rPr>
                <w:rFonts w:ascii="Times New Roman" w:hAnsi="Times New Roman" w:cs="Times New Roman"/>
              </w:rPr>
              <w:t>Paluti vastata kolmele küsimusele:</w:t>
            </w:r>
          </w:p>
          <w:p w14:paraId="12D2907D" w14:textId="77777777" w:rsidR="008312AA" w:rsidRDefault="00000000">
            <w:pPr>
              <w:numPr>
                <w:ilvl w:val="0"/>
                <w:numId w:val="30"/>
              </w:numPr>
              <w:spacing w:beforeAutospacing="1" w:after="0"/>
              <w:jc w:val="left"/>
              <w:rPr>
                <w:rFonts w:ascii="Times New Roman" w:eastAsia="Times New Roman" w:hAnsi="Times New Roman" w:cs="Times New Roman"/>
                <w:color w:val="333333"/>
              </w:rPr>
            </w:pPr>
            <w:r>
              <w:rPr>
                <w:rFonts w:ascii="Times New Roman" w:eastAsia="Times New Roman" w:hAnsi="Times New Roman" w:cs="Times New Roman"/>
                <w:color w:val="333333"/>
              </w:rPr>
              <w:t>Milliste tegevustega jätkamist peate esmatähtsaks ja millised tegevused võiks lõpetada?</w:t>
            </w:r>
          </w:p>
          <w:p w14:paraId="32FDC8DA" w14:textId="77777777" w:rsidR="008312AA" w:rsidRDefault="00000000">
            <w:pPr>
              <w:numPr>
                <w:ilvl w:val="0"/>
                <w:numId w:val="18"/>
              </w:numPr>
              <w:spacing w:after="0"/>
              <w:jc w:val="left"/>
              <w:rPr>
                <w:rFonts w:ascii="Times New Roman" w:eastAsia="Times New Roman" w:hAnsi="Times New Roman" w:cs="Times New Roman"/>
                <w:color w:val="333333"/>
              </w:rPr>
            </w:pPr>
            <w:r>
              <w:rPr>
                <w:rFonts w:ascii="Times New Roman" w:eastAsia="Times New Roman" w:hAnsi="Times New Roman" w:cs="Times New Roman"/>
                <w:color w:val="333333"/>
              </w:rPr>
              <w:t>Milliseid uusi tegevusi võiks kavandada?</w:t>
            </w:r>
          </w:p>
          <w:p w14:paraId="4D0F2AF0" w14:textId="77777777" w:rsidR="008312AA" w:rsidRDefault="00000000">
            <w:pPr>
              <w:numPr>
                <w:ilvl w:val="0"/>
                <w:numId w:val="18"/>
              </w:numPr>
              <w:spacing w:afterAutospacing="1"/>
              <w:jc w:val="left"/>
              <w:rPr>
                <w:rFonts w:ascii="Times New Roman" w:eastAsia="Times New Roman" w:hAnsi="Times New Roman" w:cs="Times New Roman"/>
                <w:color w:val="333333"/>
              </w:rPr>
            </w:pPr>
            <w:r>
              <w:rPr>
                <w:rFonts w:ascii="Times New Roman" w:eastAsia="Times New Roman" w:hAnsi="Times New Roman" w:cs="Times New Roman"/>
                <w:color w:val="333333"/>
              </w:rPr>
              <w:t>Kas võiks midagi muuta Saarte Kalanduse töökorralduses?</w:t>
            </w:r>
          </w:p>
          <w:p w14:paraId="59EF0790" w14:textId="77777777" w:rsidR="008312AA" w:rsidRDefault="00000000">
            <w:pPr>
              <w:spacing w:beforeAutospacing="1" w:afterAutospacing="1"/>
              <w:jc w:val="left"/>
              <w:rPr>
                <w:rFonts w:ascii="Times New Roman" w:eastAsia="Times New Roman" w:hAnsi="Times New Roman" w:cs="Times New Roman"/>
                <w:color w:val="333333"/>
              </w:rPr>
            </w:pPr>
            <w:r>
              <w:rPr>
                <w:rFonts w:ascii="Times New Roman" w:eastAsia="Times New Roman" w:hAnsi="Times New Roman" w:cs="Times New Roman"/>
                <w:color w:val="333333"/>
              </w:rPr>
              <w:t>Laekus neli ettepanekut/ arvamust.</w:t>
            </w:r>
          </w:p>
          <w:p w14:paraId="4201F900" w14:textId="77777777" w:rsidR="008312AA" w:rsidRDefault="00000000">
            <w:pPr>
              <w:pStyle w:val="Standard"/>
              <w:rPr>
                <w:rFonts w:ascii="Times New Roman" w:hAnsi="Times New Roman"/>
              </w:rPr>
            </w:pPr>
            <w:r>
              <w:rPr>
                <w:rFonts w:ascii="Times New Roman" w:hAnsi="Times New Roman"/>
              </w:rPr>
              <w:t xml:space="preserve">11.02.2022. a uue eelarveperioodi strateegia avalik arutelukoosolek Nasva klubis – kaasamisprotsessis osalejad, töörühm, juhtrühm, OÜ </w:t>
            </w:r>
            <w:proofErr w:type="spellStart"/>
            <w:r>
              <w:rPr>
                <w:rFonts w:ascii="Times New Roman" w:hAnsi="Times New Roman"/>
              </w:rPr>
              <w:t>Cumulus</w:t>
            </w:r>
            <w:proofErr w:type="spellEnd"/>
            <w:r>
              <w:rPr>
                <w:rFonts w:ascii="Times New Roman" w:hAnsi="Times New Roman"/>
              </w:rPr>
              <w:t xml:space="preserve"> Consulting esindaja (sisendite saamine/ kogumine erinevatelt huvigruppidelt (ühingu sisesed ja välised). Erinevate huvigruppide esindajate ettepanekute/ visioonide ärakuulamine.</w:t>
            </w:r>
          </w:p>
          <w:p w14:paraId="416967A7" w14:textId="77777777" w:rsidR="00DB48AC" w:rsidRDefault="00000000">
            <w:pPr>
              <w:pStyle w:val="Standard"/>
              <w:rPr>
                <w:rFonts w:ascii="Times New Roman" w:hAnsi="Times New Roman"/>
              </w:rPr>
            </w:pPr>
            <w:r>
              <w:rPr>
                <w:rFonts w:ascii="Times New Roman" w:hAnsi="Times New Roman"/>
              </w:rPr>
              <w:t xml:space="preserve">6.04.2022. a käsunduslepingu sõlmimine </w:t>
            </w:r>
            <w:proofErr w:type="spellStart"/>
            <w:r>
              <w:rPr>
                <w:rFonts w:ascii="Times New Roman" w:hAnsi="Times New Roman"/>
              </w:rPr>
              <w:t>Cumulus</w:t>
            </w:r>
            <w:proofErr w:type="spellEnd"/>
            <w:r>
              <w:rPr>
                <w:rFonts w:ascii="Times New Roman" w:hAnsi="Times New Roman"/>
              </w:rPr>
              <w:t xml:space="preserve"> Consulting OÜ tegevjuhi Jaan Urmiga (ühingu väline konsultant).</w:t>
            </w:r>
          </w:p>
          <w:p w14:paraId="60BA5F19" w14:textId="1B87ABB5" w:rsidR="00DB48AC" w:rsidRPr="00DB48AC" w:rsidRDefault="00DB48AC">
            <w:pPr>
              <w:pStyle w:val="Standard"/>
              <w:rPr>
                <w:rFonts w:ascii="Times New Roman" w:hAnsi="Times New Roman"/>
              </w:rPr>
            </w:pPr>
          </w:p>
        </w:tc>
      </w:tr>
      <w:tr w:rsidR="008312AA" w14:paraId="1ADDBC4D" w14:textId="77777777">
        <w:tc>
          <w:tcPr>
            <w:tcW w:w="2126" w:type="dxa"/>
            <w:shd w:val="clear" w:color="auto" w:fill="D5DCE4" w:themeFill="text2" w:themeFillTint="33"/>
          </w:tcPr>
          <w:p w14:paraId="5369F0F5"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D5DCE4" w:themeFill="text2" w:themeFillTint="33"/>
          </w:tcPr>
          <w:p w14:paraId="224DB9CD" w14:textId="77777777" w:rsidR="008312AA" w:rsidRDefault="00000000">
            <w:pPr>
              <w:spacing w:line="276" w:lineRule="auto"/>
              <w:jc w:val="left"/>
              <w:rPr>
                <w:rFonts w:ascii="Times New Roman" w:eastAsia="Times New Roman" w:hAnsi="Times New Roman" w:cs="Times New Roman"/>
                <w:b/>
                <w:bCs/>
              </w:rPr>
            </w:pPr>
            <w:r>
              <w:rPr>
                <w:rFonts w:ascii="Times New Roman" w:hAnsi="Times New Roman" w:cs="Times New Roman"/>
                <w:b/>
                <w:bCs/>
              </w:rPr>
              <w:t>Tegevused</w:t>
            </w:r>
          </w:p>
        </w:tc>
      </w:tr>
      <w:tr w:rsidR="008312AA" w14:paraId="1D12285B" w14:textId="77777777">
        <w:tc>
          <w:tcPr>
            <w:tcW w:w="2126" w:type="dxa"/>
          </w:tcPr>
          <w:p w14:paraId="478D8CBF" w14:textId="77777777" w:rsidR="008312AA" w:rsidRDefault="008312AA">
            <w:pPr>
              <w:spacing w:line="276" w:lineRule="auto"/>
              <w:jc w:val="left"/>
              <w:rPr>
                <w:rFonts w:ascii="Times New Roman" w:hAnsi="Times New Roman" w:cs="Times New Roman"/>
                <w:b/>
                <w:bCs/>
              </w:rPr>
            </w:pPr>
          </w:p>
        </w:tc>
        <w:tc>
          <w:tcPr>
            <w:tcW w:w="7229" w:type="dxa"/>
          </w:tcPr>
          <w:p w14:paraId="1C5D4CC3"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II Alusandmete, saadud sisendite ja hetkeolukorra analüüs, strateegia peatükkide struktuuri loomine ja strateegia peatükkide kirjutamine.</w:t>
            </w:r>
          </w:p>
          <w:p w14:paraId="4256925B" w14:textId="77777777" w:rsidR="008312AA" w:rsidRDefault="00000000">
            <w:pPr>
              <w:spacing w:line="276" w:lineRule="auto"/>
              <w:jc w:val="left"/>
              <w:rPr>
                <w:rFonts w:ascii="Times New Roman" w:hAnsi="Times New Roman" w:cs="Times New Roman"/>
              </w:rPr>
            </w:pPr>
            <w:r>
              <w:rPr>
                <w:rFonts w:ascii="Times New Roman" w:hAnsi="Times New Roman"/>
              </w:rPr>
              <w:t xml:space="preserve">6. 04.2022. a strateegia töörühma koosolek- (juhtrühm, töörühm, OÜ </w:t>
            </w:r>
            <w:proofErr w:type="spellStart"/>
            <w:r>
              <w:rPr>
                <w:rFonts w:ascii="Times New Roman" w:hAnsi="Times New Roman"/>
              </w:rPr>
              <w:t>Cumulus</w:t>
            </w:r>
            <w:proofErr w:type="spellEnd"/>
            <w:r>
              <w:rPr>
                <w:rFonts w:ascii="Times New Roman" w:hAnsi="Times New Roman"/>
              </w:rPr>
              <w:t xml:space="preserve"> Consulting esindaja.</w:t>
            </w:r>
            <w:r>
              <w:rPr>
                <w:rFonts w:ascii="Times New Roman" w:hAnsi="Times New Roman" w:cs="Times New Roman"/>
              </w:rPr>
              <w:t xml:space="preserve"> Protsessi vältel saadud ideede/ sisendite süstematiseerimine ja </w:t>
            </w:r>
            <w:proofErr w:type="spellStart"/>
            <w:r>
              <w:rPr>
                <w:rFonts w:ascii="Times New Roman" w:hAnsi="Times New Roman" w:cs="Times New Roman"/>
              </w:rPr>
              <w:t>prioritiseerimine</w:t>
            </w:r>
            <w:proofErr w:type="spellEnd"/>
            <w:r>
              <w:rPr>
                <w:rFonts w:ascii="Times New Roman" w:hAnsi="Times New Roman" w:cs="Times New Roman"/>
              </w:rPr>
              <w:t xml:space="preserve">. Strateegia üldise struktuuri paikapanek (ÜSM art 32 p </w:t>
            </w:r>
            <w:proofErr w:type="spellStart"/>
            <w:r>
              <w:rPr>
                <w:rFonts w:ascii="Times New Roman" w:hAnsi="Times New Roman" w:cs="Times New Roman"/>
              </w:rPr>
              <w:t>a-f</w:t>
            </w:r>
            <w:proofErr w:type="spellEnd"/>
            <w:r>
              <w:rPr>
                <w:rFonts w:ascii="Times New Roman" w:hAnsi="Times New Roman" w:cs="Times New Roman"/>
              </w:rPr>
              <w:t xml:space="preserve">, art 33 p b). Statistiliste andmete </w:t>
            </w:r>
            <w:r>
              <w:rPr>
                <w:rFonts w:ascii="Times New Roman" w:hAnsi="Times New Roman" w:cs="Times New Roman"/>
              </w:rPr>
              <w:lastRenderedPageBreak/>
              <w:t xml:space="preserve">kaasajastamine, visiooni ja eesmärkide ülevaatamine. Kalandussektori kirjeldus/ üldine iseloomustus, kalapüük, kalavarude olukord, tööhõive ja elatusvõimalused rannakalanduses, kalalaevastik, sadamad ja lossimiskohad, kala töötlemine ja otseturustamine. </w:t>
            </w:r>
            <w:r>
              <w:rPr>
                <w:rFonts w:ascii="Times New Roman" w:hAnsi="Times New Roman"/>
              </w:rPr>
              <w:t>Piirkonna SWOT analüüsi täiendamine</w:t>
            </w:r>
            <w:r>
              <w:rPr>
                <w:rFonts w:ascii="Times New Roman" w:hAnsi="Times New Roman" w:cs="Times New Roman"/>
              </w:rPr>
              <w:t>.</w:t>
            </w:r>
            <w:r>
              <w:rPr>
                <w:rFonts w:ascii="Times New Roman" w:hAnsi="Times New Roman"/>
              </w:rPr>
              <w:t xml:space="preserve"> Defineeritakse piirkonna tugevused ja nõrkused ning võimalused ja ohud. </w:t>
            </w:r>
            <w:r>
              <w:rPr>
                <w:rFonts w:ascii="Times New Roman" w:hAnsi="Times New Roman" w:cs="Times New Roman"/>
              </w:rPr>
              <w:t xml:space="preserve"> Strateegiliste eesmärkide ja tegevuskava, tegevussuundade jms sellega seonduva kirjeldamine.</w:t>
            </w:r>
            <w:r>
              <w:rPr>
                <w:rFonts w:ascii="Times New Roman" w:hAnsi="Times New Roman"/>
              </w:rPr>
              <w:t xml:space="preserve"> Majandusliku, sotsiaalmajandusliku, looduskeskkonna, regionaalse arengu ja sotsiaalkultuuriliste tegurite analüüs, mis ühtlasi on aluseks eesmärkide püstitamisele ning mõõdikute määramisele.</w:t>
            </w:r>
          </w:p>
          <w:p w14:paraId="0E398BC5" w14:textId="77777777" w:rsidR="008312AA" w:rsidRDefault="00000000">
            <w:pPr>
              <w:pStyle w:val="Standard"/>
              <w:rPr>
                <w:rFonts w:ascii="Times New Roman" w:hAnsi="Times New Roman"/>
              </w:rPr>
            </w:pPr>
            <w:r>
              <w:rPr>
                <w:rFonts w:ascii="Times New Roman" w:hAnsi="Times New Roman"/>
              </w:rPr>
              <w:t>22.04.2022. a üldkoosolekul arengustrateegia tegevuskava heakskiitmine ja  strateegia tööversiooni olemasolevate peatükkide tutvustamine.</w:t>
            </w:r>
          </w:p>
          <w:p w14:paraId="50B3CED2" w14:textId="77777777" w:rsidR="008312AA" w:rsidRDefault="00000000">
            <w:pPr>
              <w:pStyle w:val="Standard"/>
              <w:rPr>
                <w:rFonts w:ascii="Times New Roman" w:hAnsi="Times New Roman"/>
              </w:rPr>
            </w:pPr>
            <w:r>
              <w:rPr>
                <w:rFonts w:ascii="Times New Roman" w:hAnsi="Times New Roman"/>
              </w:rPr>
              <w:t xml:space="preserve">17.06.2022. a – strateegia tööversioon saadeti ülevaatamiseks </w:t>
            </w:r>
            <w:proofErr w:type="spellStart"/>
            <w:r>
              <w:rPr>
                <w:rFonts w:ascii="Times New Roman" w:hAnsi="Times New Roman"/>
              </w:rPr>
              <w:t>Cumulus</w:t>
            </w:r>
            <w:proofErr w:type="spellEnd"/>
            <w:r>
              <w:rPr>
                <w:rFonts w:ascii="Times New Roman" w:hAnsi="Times New Roman"/>
              </w:rPr>
              <w:t xml:space="preserve"> Consulting OÜle.</w:t>
            </w:r>
          </w:p>
        </w:tc>
      </w:tr>
      <w:tr w:rsidR="008312AA" w14:paraId="3FF9BCDA" w14:textId="77777777">
        <w:tc>
          <w:tcPr>
            <w:tcW w:w="2126" w:type="dxa"/>
            <w:shd w:val="clear" w:color="auto" w:fill="D5DCE4" w:themeFill="text2" w:themeFillTint="33"/>
          </w:tcPr>
          <w:p w14:paraId="5CA2EB45"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D5DCE4" w:themeFill="text2" w:themeFillTint="33"/>
          </w:tcPr>
          <w:p w14:paraId="7128A974" w14:textId="77777777" w:rsidR="008312AA" w:rsidRDefault="00000000">
            <w:pPr>
              <w:pStyle w:val="Standard"/>
              <w:rPr>
                <w:rFonts w:ascii="Times New Roman" w:hAnsi="Times New Roman"/>
              </w:rPr>
            </w:pPr>
            <w:r>
              <w:rPr>
                <w:rFonts w:ascii="Times New Roman" w:hAnsi="Times New Roman"/>
                <w:b/>
                <w:bCs/>
              </w:rPr>
              <w:t>Tegevused</w:t>
            </w:r>
          </w:p>
        </w:tc>
      </w:tr>
      <w:tr w:rsidR="008312AA" w14:paraId="0F5F82E3" w14:textId="77777777">
        <w:tc>
          <w:tcPr>
            <w:tcW w:w="2126" w:type="dxa"/>
          </w:tcPr>
          <w:p w14:paraId="6ACEDED2" w14:textId="77777777" w:rsidR="008312AA" w:rsidRDefault="008312AA">
            <w:pPr>
              <w:spacing w:line="276" w:lineRule="auto"/>
              <w:jc w:val="left"/>
              <w:rPr>
                <w:rFonts w:ascii="Times New Roman" w:hAnsi="Times New Roman" w:cs="Times New Roman"/>
                <w:b/>
                <w:bCs/>
              </w:rPr>
            </w:pPr>
          </w:p>
          <w:p w14:paraId="1D470026" w14:textId="77777777" w:rsidR="008312AA" w:rsidRDefault="008312AA">
            <w:pPr>
              <w:spacing w:line="276" w:lineRule="auto"/>
              <w:jc w:val="left"/>
              <w:rPr>
                <w:rFonts w:ascii="Times New Roman" w:hAnsi="Times New Roman" w:cs="Times New Roman"/>
                <w:b/>
                <w:bCs/>
              </w:rPr>
            </w:pPr>
          </w:p>
          <w:p w14:paraId="47DD6DF9" w14:textId="77777777" w:rsidR="008312AA" w:rsidRDefault="008312AA">
            <w:pPr>
              <w:spacing w:line="276" w:lineRule="auto"/>
              <w:jc w:val="left"/>
              <w:rPr>
                <w:rFonts w:ascii="Times New Roman" w:hAnsi="Times New Roman" w:cs="Times New Roman"/>
                <w:b/>
                <w:bCs/>
              </w:rPr>
            </w:pPr>
          </w:p>
          <w:p w14:paraId="14D0BDD4" w14:textId="77777777" w:rsidR="008312AA" w:rsidRDefault="008312AA">
            <w:pPr>
              <w:spacing w:line="276" w:lineRule="auto"/>
              <w:jc w:val="left"/>
              <w:rPr>
                <w:rFonts w:ascii="Times New Roman" w:hAnsi="Times New Roman" w:cs="Times New Roman"/>
                <w:b/>
                <w:bCs/>
              </w:rPr>
            </w:pPr>
          </w:p>
          <w:p w14:paraId="270F35B9" w14:textId="77777777" w:rsidR="008312AA" w:rsidRDefault="008312AA">
            <w:pPr>
              <w:spacing w:line="276" w:lineRule="auto"/>
              <w:jc w:val="left"/>
              <w:rPr>
                <w:rFonts w:ascii="Times New Roman" w:hAnsi="Times New Roman" w:cs="Times New Roman"/>
                <w:b/>
                <w:bCs/>
              </w:rPr>
            </w:pPr>
          </w:p>
          <w:p w14:paraId="0D8CCD88" w14:textId="77777777" w:rsidR="008312AA" w:rsidRDefault="008312AA">
            <w:pPr>
              <w:spacing w:line="276" w:lineRule="auto"/>
              <w:jc w:val="left"/>
              <w:rPr>
                <w:rFonts w:ascii="Times New Roman" w:hAnsi="Times New Roman" w:cs="Times New Roman"/>
                <w:b/>
                <w:bCs/>
              </w:rPr>
            </w:pPr>
          </w:p>
          <w:p w14:paraId="6DB58D48" w14:textId="77777777" w:rsidR="008312AA" w:rsidRDefault="008312AA">
            <w:pPr>
              <w:spacing w:line="276" w:lineRule="auto"/>
              <w:jc w:val="left"/>
              <w:rPr>
                <w:rFonts w:ascii="Times New Roman" w:hAnsi="Times New Roman" w:cs="Times New Roman"/>
                <w:b/>
                <w:bCs/>
              </w:rPr>
            </w:pPr>
          </w:p>
          <w:p w14:paraId="68F9E9CE" w14:textId="77777777" w:rsidR="008312AA" w:rsidRDefault="008312AA">
            <w:pPr>
              <w:spacing w:line="276" w:lineRule="auto"/>
              <w:jc w:val="left"/>
              <w:rPr>
                <w:rFonts w:ascii="Times New Roman" w:hAnsi="Times New Roman" w:cs="Times New Roman"/>
                <w:b/>
                <w:bCs/>
              </w:rPr>
            </w:pPr>
          </w:p>
          <w:p w14:paraId="568B7E58" w14:textId="77777777" w:rsidR="008312AA" w:rsidRDefault="008312AA">
            <w:pPr>
              <w:spacing w:line="276" w:lineRule="auto"/>
              <w:jc w:val="left"/>
              <w:rPr>
                <w:rFonts w:ascii="Times New Roman" w:hAnsi="Times New Roman" w:cs="Times New Roman"/>
                <w:b/>
                <w:bCs/>
              </w:rPr>
            </w:pPr>
          </w:p>
          <w:p w14:paraId="407ACF22" w14:textId="77777777" w:rsidR="008312AA" w:rsidRDefault="008312AA">
            <w:pPr>
              <w:spacing w:line="276" w:lineRule="auto"/>
              <w:jc w:val="left"/>
              <w:rPr>
                <w:rFonts w:ascii="Times New Roman" w:hAnsi="Times New Roman" w:cs="Times New Roman"/>
                <w:b/>
                <w:bCs/>
              </w:rPr>
            </w:pPr>
          </w:p>
          <w:p w14:paraId="42692B09" w14:textId="77777777" w:rsidR="008312AA" w:rsidRDefault="008312AA">
            <w:pPr>
              <w:spacing w:line="276" w:lineRule="auto"/>
              <w:jc w:val="left"/>
              <w:rPr>
                <w:rFonts w:ascii="Times New Roman" w:hAnsi="Times New Roman" w:cs="Times New Roman"/>
                <w:b/>
                <w:bCs/>
              </w:rPr>
            </w:pPr>
          </w:p>
          <w:p w14:paraId="57A4D062"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Aprill 2022 – detsember 2023</w:t>
            </w:r>
          </w:p>
        </w:tc>
        <w:tc>
          <w:tcPr>
            <w:tcW w:w="7229" w:type="dxa"/>
          </w:tcPr>
          <w:p w14:paraId="68DB30D1"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III Strateegia tööversioonide tutvustamine avalikel kaasamiskoosolekutel, huvigruppide täiendusettepanekute ja sisendit saamine.</w:t>
            </w:r>
          </w:p>
          <w:p w14:paraId="3BECAD60" w14:textId="77777777" w:rsidR="008312AA" w:rsidRDefault="00000000">
            <w:pPr>
              <w:pStyle w:val="Standard"/>
              <w:rPr>
                <w:rFonts w:ascii="Times New Roman" w:hAnsi="Times New Roman"/>
              </w:rPr>
            </w:pPr>
            <w:r>
              <w:rPr>
                <w:rFonts w:ascii="Times New Roman" w:hAnsi="Times New Roman"/>
              </w:rPr>
              <w:t>21.07.2022. a – strateegia tööversiooni olemasolevate peatükkide esimene avalik väljapanek kodulehel ettepanekute ja täienduste esitamiseks.</w:t>
            </w:r>
          </w:p>
          <w:p w14:paraId="01C4017D" w14:textId="77777777" w:rsidR="008312AA" w:rsidRDefault="00000000">
            <w:pPr>
              <w:pStyle w:val="Standard"/>
              <w:rPr>
                <w:rFonts w:ascii="Times New Roman" w:hAnsi="Times New Roman"/>
              </w:rPr>
            </w:pPr>
            <w:r>
              <w:rPr>
                <w:rFonts w:ascii="Times New Roman" w:hAnsi="Times New Roman"/>
              </w:rPr>
              <w:t>3.11.2022. a - strateegia tööversiooni olemasolevate peatükkide teine avalik väljapanek kodulehel ettepanekute ja täienduste esitamiseks.</w:t>
            </w:r>
          </w:p>
          <w:p w14:paraId="5779C212" w14:textId="77777777" w:rsidR="008312AA" w:rsidRDefault="00000000">
            <w:pPr>
              <w:pStyle w:val="Standard"/>
              <w:rPr>
                <w:rFonts w:ascii="Times New Roman" w:hAnsi="Times New Roman"/>
              </w:rPr>
            </w:pPr>
            <w:r>
              <w:rPr>
                <w:rFonts w:ascii="Times New Roman" w:hAnsi="Times New Roman"/>
              </w:rPr>
              <w:t>18.11.2022. a üldkoosolekul arengustrateegia olemasolevate peatükkide tutvustamine.</w:t>
            </w:r>
          </w:p>
          <w:p w14:paraId="75170614" w14:textId="77777777" w:rsidR="008312AA" w:rsidRDefault="00000000">
            <w:pPr>
              <w:pStyle w:val="Standard"/>
              <w:rPr>
                <w:rFonts w:ascii="Times New Roman" w:hAnsi="Times New Roman"/>
              </w:rPr>
            </w:pPr>
            <w:bookmarkStart w:id="112" w:name="_Hlk153974418"/>
            <w:r>
              <w:rPr>
                <w:rFonts w:ascii="Times New Roman" w:hAnsi="Times New Roman"/>
              </w:rPr>
              <w:t>21.11.2022. a küsimustik sadamapidajatele arenguvajaduste kaardistamiseks</w:t>
            </w:r>
            <w:bookmarkEnd w:id="112"/>
            <w:r>
              <w:rPr>
                <w:rFonts w:ascii="Times New Roman" w:hAnsi="Times New Roman"/>
              </w:rPr>
              <w:t>. Tagasisidet anti kaheksa sadama osas.</w:t>
            </w:r>
          </w:p>
          <w:p w14:paraId="0F51206F" w14:textId="77777777" w:rsidR="008312AA" w:rsidRDefault="00000000">
            <w:pPr>
              <w:pStyle w:val="Standard"/>
              <w:rPr>
                <w:rFonts w:ascii="Times New Roman" w:hAnsi="Times New Roman"/>
              </w:rPr>
            </w:pPr>
            <w:r>
              <w:rPr>
                <w:rFonts w:ascii="Times New Roman" w:hAnsi="Times New Roman"/>
              </w:rPr>
              <w:t>27.03.2023. a - strateegia tööversiooni olemasolevate peatükkide kolmas avalik väljapanek kodulehel ettepanekute ja täienduste esitamiseks.</w:t>
            </w:r>
          </w:p>
          <w:p w14:paraId="3655FCD8" w14:textId="77777777" w:rsidR="008312AA" w:rsidRDefault="00000000">
            <w:pPr>
              <w:pStyle w:val="Standard"/>
              <w:rPr>
                <w:rFonts w:ascii="Times New Roman" w:hAnsi="Times New Roman"/>
              </w:rPr>
            </w:pPr>
            <w:r>
              <w:rPr>
                <w:rFonts w:ascii="Times New Roman" w:hAnsi="Times New Roman"/>
              </w:rPr>
              <w:t>16.05.2023. a küsimustik sadamapidajatele (palusime sadamapidajatel täita küsimustiku sadama lossimiste, planeeritavate investeeringute, nende orienteeruva maksumuse ja juba tehtud investeeringute kirjelduse kohta. Tagasisidet saime kaheksa sadama osas).</w:t>
            </w:r>
          </w:p>
          <w:p w14:paraId="1BD1BEFE" w14:textId="77777777" w:rsidR="008312AA" w:rsidRDefault="00000000">
            <w:pPr>
              <w:pStyle w:val="Standard"/>
              <w:rPr>
                <w:rFonts w:ascii="Times New Roman" w:hAnsi="Times New Roman"/>
              </w:rPr>
            </w:pPr>
            <w:r>
              <w:rPr>
                <w:rFonts w:ascii="Times New Roman" w:hAnsi="Times New Roman"/>
              </w:rPr>
              <w:t>19.05.2023. a arengustrateegia kaasamiskoosolek – tegevussuundade ja toetuse määrade tutvustamine.</w:t>
            </w:r>
          </w:p>
          <w:p w14:paraId="5898C58D" w14:textId="77777777" w:rsidR="008312AA" w:rsidRDefault="00000000">
            <w:pPr>
              <w:pStyle w:val="Standard"/>
              <w:rPr>
                <w:rFonts w:ascii="Times New Roman" w:hAnsi="Times New Roman"/>
              </w:rPr>
            </w:pPr>
            <w:r>
              <w:rPr>
                <w:rFonts w:ascii="Times New Roman" w:hAnsi="Times New Roman"/>
              </w:rPr>
              <w:lastRenderedPageBreak/>
              <w:t xml:space="preserve">15.06.2023. a arengustrateegia kaasamiskoosolek – ettepanekud strateegiasse lisatavate sadamate osas, Saaremaa </w:t>
            </w:r>
            <w:proofErr w:type="spellStart"/>
            <w:r>
              <w:rPr>
                <w:rFonts w:ascii="Times New Roman" w:hAnsi="Times New Roman"/>
              </w:rPr>
              <w:t>rannakalanduse</w:t>
            </w:r>
            <w:proofErr w:type="spellEnd"/>
            <w:r>
              <w:rPr>
                <w:rFonts w:ascii="Times New Roman" w:hAnsi="Times New Roman"/>
              </w:rPr>
              <w:t xml:space="preserve">  hetkeseis.</w:t>
            </w:r>
          </w:p>
          <w:p w14:paraId="77DFA3A9" w14:textId="77777777" w:rsidR="008312AA" w:rsidRDefault="00000000">
            <w:pPr>
              <w:pStyle w:val="Standard"/>
              <w:rPr>
                <w:rFonts w:ascii="Times New Roman" w:hAnsi="Times New Roman"/>
              </w:rPr>
            </w:pPr>
            <w:r>
              <w:rPr>
                <w:rFonts w:ascii="Times New Roman" w:hAnsi="Times New Roman"/>
              </w:rPr>
              <w:t>29.08.2023. a - strateegia tööversiooni neljas avalik väljapanek kodulehel ettepanekute ja täienduste esitamiseks.</w:t>
            </w:r>
          </w:p>
          <w:p w14:paraId="59968ABF" w14:textId="77777777" w:rsidR="008312AA" w:rsidRDefault="00000000">
            <w:pPr>
              <w:pStyle w:val="Standard"/>
              <w:rPr>
                <w:rFonts w:ascii="Times New Roman" w:hAnsi="Times New Roman"/>
              </w:rPr>
            </w:pPr>
            <w:r>
              <w:rPr>
                <w:rFonts w:ascii="Times New Roman" w:hAnsi="Times New Roman"/>
              </w:rPr>
              <w:t>27.10.2023 – strateegia tööversiooni viies avalik väljapanek kodulehel ettepanekute ja täienduste esitamiseks.</w:t>
            </w:r>
          </w:p>
          <w:p w14:paraId="7F55A111" w14:textId="77777777" w:rsidR="008312AA" w:rsidRDefault="00000000">
            <w:pPr>
              <w:spacing w:line="276" w:lineRule="auto"/>
              <w:jc w:val="left"/>
              <w:rPr>
                <w:rFonts w:ascii="Times New Roman" w:eastAsia="Times New Roman" w:hAnsi="Times New Roman" w:cs="Times New Roman"/>
                <w:lang w:eastAsia="zh-CN"/>
              </w:rPr>
            </w:pPr>
            <w:r>
              <w:rPr>
                <w:rFonts w:ascii="Times New Roman" w:hAnsi="Times New Roman"/>
              </w:rPr>
              <w:t>17.11.2023. a arengustrateegia kaasamiskoosolek, kus tutvustati m</w:t>
            </w:r>
            <w:r>
              <w:rPr>
                <w:rFonts w:ascii="Times New Roman" w:eastAsia="Times New Roman" w:hAnsi="Times New Roman" w:cs="Times New Roman"/>
                <w:lang w:eastAsia="zh-CN"/>
              </w:rPr>
              <w:t>äärust „Perioodi 2021–2027 kogukonna juhitud kohaliku arengu toetus“ ja  Saaremaa kalanduspiirkonna uue arengustrateegia tööversiooni samuti tutvustati MTÜ Saarte Kalandus arengustrateegiasse lisatavate sadamate nimekirja.</w:t>
            </w:r>
          </w:p>
          <w:p w14:paraId="131107A8"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6.12.2023. a juhatuse koosolek </w:t>
            </w:r>
            <w:r>
              <w:rPr>
                <w:rFonts w:ascii="Times New Roman" w:hAnsi="Times New Roman"/>
              </w:rPr>
              <w:t>MTÜ Saarte Kalandus uue rahastusperioodi 2024 – 2027+ rahastamiskava arutelu.</w:t>
            </w:r>
          </w:p>
        </w:tc>
      </w:tr>
      <w:tr w:rsidR="008312AA" w14:paraId="682FA466" w14:textId="77777777">
        <w:tc>
          <w:tcPr>
            <w:tcW w:w="2126" w:type="dxa"/>
            <w:shd w:val="clear" w:color="auto" w:fill="D5DCE4" w:themeFill="text2" w:themeFillTint="33"/>
          </w:tcPr>
          <w:p w14:paraId="5E2D038C"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lastRenderedPageBreak/>
              <w:t>Ajaskaala</w:t>
            </w:r>
          </w:p>
        </w:tc>
        <w:tc>
          <w:tcPr>
            <w:tcW w:w="7229" w:type="dxa"/>
            <w:shd w:val="clear" w:color="auto" w:fill="D5DCE4" w:themeFill="text2" w:themeFillTint="33"/>
          </w:tcPr>
          <w:p w14:paraId="7FEDFDD4" w14:textId="77777777" w:rsidR="008312AA" w:rsidRDefault="00000000">
            <w:pPr>
              <w:spacing w:line="276" w:lineRule="auto"/>
              <w:jc w:val="left"/>
              <w:rPr>
                <w:rFonts w:ascii="Times New Roman" w:eastAsia="Times New Roman" w:hAnsi="Times New Roman" w:cs="Times New Roman"/>
                <w:b/>
                <w:bCs/>
              </w:rPr>
            </w:pPr>
            <w:r>
              <w:rPr>
                <w:rFonts w:ascii="Times New Roman" w:hAnsi="Times New Roman" w:cs="Times New Roman"/>
                <w:b/>
                <w:bCs/>
              </w:rPr>
              <w:t>Tegevused</w:t>
            </w:r>
          </w:p>
        </w:tc>
      </w:tr>
      <w:tr w:rsidR="008312AA" w14:paraId="536D7753" w14:textId="77777777">
        <w:tc>
          <w:tcPr>
            <w:tcW w:w="2126" w:type="dxa"/>
          </w:tcPr>
          <w:p w14:paraId="06C2DCF6" w14:textId="77777777" w:rsidR="008312AA" w:rsidRDefault="008312AA">
            <w:pPr>
              <w:spacing w:line="276" w:lineRule="auto"/>
              <w:jc w:val="left"/>
              <w:rPr>
                <w:rFonts w:ascii="Times New Roman" w:hAnsi="Times New Roman" w:cs="Times New Roman"/>
                <w:b/>
                <w:bCs/>
              </w:rPr>
            </w:pPr>
          </w:p>
          <w:p w14:paraId="7CA37F2A" w14:textId="77777777" w:rsidR="008312AA" w:rsidRDefault="008312AA">
            <w:pPr>
              <w:spacing w:line="276" w:lineRule="auto"/>
              <w:jc w:val="left"/>
              <w:rPr>
                <w:rFonts w:ascii="Times New Roman" w:hAnsi="Times New Roman" w:cs="Times New Roman"/>
                <w:b/>
                <w:bCs/>
              </w:rPr>
            </w:pPr>
          </w:p>
          <w:p w14:paraId="27525822" w14:textId="77777777" w:rsidR="008312AA" w:rsidRDefault="008312AA">
            <w:pPr>
              <w:spacing w:line="276" w:lineRule="auto"/>
              <w:jc w:val="left"/>
              <w:rPr>
                <w:rFonts w:ascii="Times New Roman" w:hAnsi="Times New Roman" w:cs="Times New Roman"/>
                <w:b/>
                <w:bCs/>
              </w:rPr>
            </w:pPr>
          </w:p>
          <w:p w14:paraId="1D0BDD28" w14:textId="77777777" w:rsidR="008312AA" w:rsidRDefault="008312AA">
            <w:pPr>
              <w:spacing w:line="276" w:lineRule="auto"/>
              <w:jc w:val="left"/>
              <w:rPr>
                <w:rFonts w:ascii="Times New Roman" w:hAnsi="Times New Roman" w:cs="Times New Roman"/>
                <w:b/>
                <w:bCs/>
              </w:rPr>
            </w:pPr>
          </w:p>
          <w:p w14:paraId="6B3001F9" w14:textId="77777777" w:rsidR="008312AA" w:rsidRDefault="008312AA">
            <w:pPr>
              <w:spacing w:line="276" w:lineRule="auto"/>
              <w:jc w:val="left"/>
              <w:rPr>
                <w:rFonts w:ascii="Times New Roman" w:hAnsi="Times New Roman" w:cs="Times New Roman"/>
                <w:b/>
                <w:bCs/>
              </w:rPr>
            </w:pPr>
          </w:p>
          <w:p w14:paraId="2BC8A15F"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Detsember 2023 – veebruar 2024</w:t>
            </w:r>
          </w:p>
        </w:tc>
        <w:tc>
          <w:tcPr>
            <w:tcW w:w="7229" w:type="dxa"/>
          </w:tcPr>
          <w:p w14:paraId="4AE3935A"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IV</w:t>
            </w:r>
            <w:r>
              <w:rPr>
                <w:rFonts w:ascii="Times New Roman" w:eastAsia="Times New Roman" w:hAnsi="Times New Roman" w:cs="Times New Roman"/>
              </w:rPr>
              <w:t xml:space="preserve"> </w:t>
            </w:r>
            <w:bookmarkStart w:id="113" w:name="_Hlk153970789"/>
            <w:r>
              <w:rPr>
                <w:rFonts w:ascii="Times New Roman" w:eastAsia="Times New Roman" w:hAnsi="Times New Roman" w:cs="Times New Roman"/>
              </w:rPr>
              <w:t>S</w:t>
            </w:r>
            <w:r>
              <w:rPr>
                <w:rFonts w:ascii="Times New Roman" w:eastAsia="Times New Roman" w:hAnsi="Times New Roman" w:cs="Times New Roman"/>
                <w:b/>
                <w:bCs/>
              </w:rPr>
              <w:t xml:space="preserve">trateegia tööversiooni redigeerimine, strateegia lisade ja töökordade koostamine, strateegia lõppversiooni väljapanek ühingu kodulehele ja selle kinnitamine üldkoosolekul. Strateegia esitamine </w:t>
            </w:r>
            <w:proofErr w:type="spellStart"/>
            <w:r>
              <w:rPr>
                <w:rFonts w:ascii="Times New Roman" w:eastAsia="Times New Roman" w:hAnsi="Times New Roman" w:cs="Times New Roman"/>
                <w:b/>
                <w:bCs/>
              </w:rPr>
              <w:t>PRIAsse</w:t>
            </w:r>
            <w:proofErr w:type="spellEnd"/>
          </w:p>
          <w:bookmarkEnd w:id="113"/>
          <w:p w14:paraId="1798B55F"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2. 01.2024. a</w:t>
            </w:r>
            <w:r>
              <w:rPr>
                <w:rFonts w:ascii="Times New Roman" w:eastAsia="Times New Roman" w:hAnsi="Times New Roman" w:cs="Times New Roman"/>
                <w:b/>
                <w:bCs/>
              </w:rPr>
              <w:t xml:space="preserve"> </w:t>
            </w:r>
            <w:r>
              <w:rPr>
                <w:rFonts w:ascii="Times New Roman" w:eastAsia="Times New Roman" w:hAnsi="Times New Roman" w:cs="Times New Roman"/>
              </w:rPr>
              <w:t xml:space="preserve">strateegia tööversiooni saatmine </w:t>
            </w:r>
            <w:proofErr w:type="spellStart"/>
            <w:r>
              <w:rPr>
                <w:rFonts w:ascii="Times New Roman" w:eastAsia="Times New Roman" w:hAnsi="Times New Roman" w:cs="Times New Roman"/>
              </w:rPr>
              <w:t>Cumulus</w:t>
            </w:r>
            <w:proofErr w:type="spellEnd"/>
            <w:r>
              <w:rPr>
                <w:rFonts w:ascii="Times New Roman" w:eastAsia="Times New Roman" w:hAnsi="Times New Roman" w:cs="Times New Roman"/>
              </w:rPr>
              <w:t xml:space="preserve"> Consulting OÜle redigeerimisele.</w:t>
            </w:r>
          </w:p>
          <w:p w14:paraId="5872B089"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1.02.2024. a strateegia lõppversiooni avalik väljapanek ühingu kodulehel.</w:t>
            </w:r>
          </w:p>
          <w:p w14:paraId="42EB6C5C"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16.02.2024. a strateegia avalik arutelu ja kinnitamine üldkoosolekul.</w:t>
            </w:r>
          </w:p>
          <w:p w14:paraId="5CA8D12C" w14:textId="117C4035" w:rsidR="008312AA" w:rsidRDefault="00170558">
            <w:pPr>
              <w:spacing w:line="276" w:lineRule="auto"/>
              <w:jc w:val="left"/>
              <w:rPr>
                <w:rFonts w:ascii="Times New Roman" w:eastAsia="Times New Roman" w:hAnsi="Times New Roman" w:cs="Times New Roman"/>
              </w:rPr>
            </w:pPr>
            <w:bookmarkStart w:id="114" w:name="_Hlk153970694"/>
            <w:r>
              <w:rPr>
                <w:rFonts w:ascii="Times New Roman" w:eastAsia="Times New Roman" w:hAnsi="Times New Roman" w:cs="Times New Roman"/>
              </w:rPr>
              <w:t xml:space="preserve">Strateegia esitamine </w:t>
            </w:r>
            <w:proofErr w:type="spellStart"/>
            <w:r>
              <w:rPr>
                <w:rFonts w:ascii="Times New Roman" w:eastAsia="Times New Roman" w:hAnsi="Times New Roman" w:cs="Times New Roman"/>
              </w:rPr>
              <w:t>PRIAsse</w:t>
            </w:r>
            <w:bookmarkEnd w:id="114"/>
            <w:proofErr w:type="spellEnd"/>
            <w:r>
              <w:rPr>
                <w:rFonts w:ascii="Times New Roman" w:eastAsia="Times New Roman" w:hAnsi="Times New Roman" w:cs="Times New Roman"/>
              </w:rPr>
              <w:t xml:space="preserve"> (hiljemalt 20. tööpäeva jooksul peale strateegia kinnitamist üldkoosolekul).</w:t>
            </w:r>
          </w:p>
        </w:tc>
      </w:tr>
    </w:tbl>
    <w:p w14:paraId="29878C09" w14:textId="77777777" w:rsidR="008312AA" w:rsidRDefault="008312AA">
      <w:pPr>
        <w:spacing w:line="276" w:lineRule="auto"/>
        <w:rPr>
          <w:rFonts w:ascii="Times New Roman" w:hAnsi="Times New Roman" w:cs="Times New Roman"/>
        </w:rPr>
      </w:pPr>
    </w:p>
    <w:p w14:paraId="501409CA" w14:textId="77777777" w:rsidR="008312AA" w:rsidRDefault="00000000">
      <w:pPr>
        <w:spacing w:after="160" w:line="259" w:lineRule="auto"/>
        <w:rPr>
          <w:rFonts w:ascii="Times New Roman" w:hAnsi="Times New Roman" w:cs="Times New Roman"/>
        </w:rPr>
      </w:pPr>
      <w:r>
        <w:br w:type="page"/>
      </w:r>
    </w:p>
    <w:p w14:paraId="2BC86007" w14:textId="77777777" w:rsidR="008312AA" w:rsidRDefault="00000000">
      <w:pPr>
        <w:pStyle w:val="Pealkiri1"/>
        <w:spacing w:before="0"/>
        <w:ind w:left="284" w:firstLine="0"/>
        <w:rPr>
          <w:rFonts w:ascii="Times New Roman" w:hAnsi="Times New Roman" w:cs="Times New Roman"/>
        </w:rPr>
      </w:pPr>
      <w:bookmarkStart w:id="115" w:name="_Toc157420987"/>
      <w:r>
        <w:rPr>
          <w:rFonts w:ascii="Times New Roman" w:hAnsi="Times New Roman" w:cs="Times New Roman"/>
        </w:rPr>
        <w:lastRenderedPageBreak/>
        <w:t xml:space="preserve">LISA 2. </w:t>
      </w:r>
      <w:bookmarkStart w:id="116" w:name="_Hlk153968468"/>
      <w:r>
        <w:rPr>
          <w:rFonts w:ascii="Times New Roman" w:hAnsi="Times New Roman" w:cs="Times New Roman"/>
        </w:rPr>
        <w:t>Strateegia koostamises osalenud organisatsioonid</w:t>
      </w:r>
      <w:bookmarkEnd w:id="115"/>
    </w:p>
    <w:bookmarkEnd w:id="116"/>
    <w:p w14:paraId="4118B79F" w14:textId="77777777" w:rsidR="008312AA" w:rsidRDefault="008312AA"/>
    <w:tbl>
      <w:tblPr>
        <w:tblStyle w:val="Kontuurtabel"/>
        <w:tblW w:w="9062" w:type="dxa"/>
        <w:tblLayout w:type="fixed"/>
        <w:tblLook w:val="04A0" w:firstRow="1" w:lastRow="0" w:firstColumn="1" w:lastColumn="0" w:noHBand="0" w:noVBand="1"/>
      </w:tblPr>
      <w:tblGrid>
        <w:gridCol w:w="763"/>
        <w:gridCol w:w="2586"/>
        <w:gridCol w:w="2745"/>
        <w:gridCol w:w="2968"/>
      </w:tblGrid>
      <w:tr w:rsidR="008312AA" w14:paraId="54E61929" w14:textId="77777777">
        <w:tc>
          <w:tcPr>
            <w:tcW w:w="762" w:type="dxa"/>
          </w:tcPr>
          <w:p w14:paraId="6C4928C0" w14:textId="77777777" w:rsidR="008312AA" w:rsidRDefault="00000000">
            <w:pPr>
              <w:rPr>
                <w:rFonts w:ascii="Times New Roman" w:hAnsi="Times New Roman" w:cs="Times New Roman"/>
                <w:b/>
                <w:bCs/>
              </w:rPr>
            </w:pPr>
            <w:r>
              <w:rPr>
                <w:rFonts w:ascii="Times New Roman" w:hAnsi="Times New Roman" w:cs="Times New Roman"/>
                <w:b/>
                <w:bCs/>
              </w:rPr>
              <w:t>Nr</w:t>
            </w:r>
          </w:p>
        </w:tc>
        <w:tc>
          <w:tcPr>
            <w:tcW w:w="2586" w:type="dxa"/>
          </w:tcPr>
          <w:p w14:paraId="4DAD2D5C" w14:textId="77777777" w:rsidR="008312AA" w:rsidRDefault="00000000">
            <w:pPr>
              <w:rPr>
                <w:rFonts w:ascii="Times New Roman" w:hAnsi="Times New Roman" w:cs="Times New Roman"/>
                <w:b/>
                <w:bCs/>
              </w:rPr>
            </w:pPr>
            <w:r>
              <w:rPr>
                <w:rFonts w:ascii="Times New Roman" w:hAnsi="Times New Roman" w:cs="Times New Roman"/>
                <w:b/>
                <w:bCs/>
              </w:rPr>
              <w:t>Osaleja</w:t>
            </w:r>
          </w:p>
        </w:tc>
        <w:tc>
          <w:tcPr>
            <w:tcW w:w="2745" w:type="dxa"/>
          </w:tcPr>
          <w:p w14:paraId="07B1F393" w14:textId="77777777" w:rsidR="008312AA" w:rsidRDefault="00000000">
            <w:pPr>
              <w:rPr>
                <w:rFonts w:ascii="Times New Roman" w:hAnsi="Times New Roman" w:cs="Times New Roman"/>
                <w:b/>
                <w:bCs/>
              </w:rPr>
            </w:pPr>
            <w:r>
              <w:rPr>
                <w:rFonts w:ascii="Times New Roman" w:hAnsi="Times New Roman" w:cs="Times New Roman"/>
                <w:b/>
                <w:bCs/>
              </w:rPr>
              <w:t>Sektor</w:t>
            </w:r>
          </w:p>
        </w:tc>
        <w:tc>
          <w:tcPr>
            <w:tcW w:w="2968" w:type="dxa"/>
          </w:tcPr>
          <w:p w14:paraId="50D9F703" w14:textId="77777777" w:rsidR="008312AA" w:rsidRDefault="00000000">
            <w:pPr>
              <w:rPr>
                <w:rFonts w:ascii="Times New Roman" w:hAnsi="Times New Roman" w:cs="Times New Roman"/>
                <w:b/>
                <w:bCs/>
              </w:rPr>
            </w:pPr>
            <w:r>
              <w:rPr>
                <w:rFonts w:ascii="Times New Roman" w:hAnsi="Times New Roman" w:cs="Times New Roman"/>
                <w:b/>
                <w:bCs/>
              </w:rPr>
              <w:t>Osalemisviis</w:t>
            </w:r>
          </w:p>
        </w:tc>
      </w:tr>
      <w:tr w:rsidR="008312AA" w14:paraId="41CDF090" w14:textId="77777777">
        <w:tc>
          <w:tcPr>
            <w:tcW w:w="762" w:type="dxa"/>
          </w:tcPr>
          <w:p w14:paraId="1A602964" w14:textId="77777777" w:rsidR="008312AA" w:rsidRDefault="00000000">
            <w:pPr>
              <w:jc w:val="left"/>
              <w:rPr>
                <w:rFonts w:ascii="Times New Roman" w:hAnsi="Times New Roman" w:cs="Times New Roman"/>
              </w:rPr>
            </w:pPr>
            <w:r>
              <w:rPr>
                <w:rFonts w:ascii="Times New Roman" w:hAnsi="Times New Roman" w:cs="Times New Roman"/>
              </w:rPr>
              <w:t>1</w:t>
            </w:r>
          </w:p>
        </w:tc>
        <w:tc>
          <w:tcPr>
            <w:tcW w:w="2586" w:type="dxa"/>
          </w:tcPr>
          <w:p w14:paraId="76209F97" w14:textId="77777777" w:rsidR="008312AA" w:rsidRDefault="00000000">
            <w:pPr>
              <w:jc w:val="left"/>
              <w:rPr>
                <w:rFonts w:ascii="Times New Roman" w:hAnsi="Times New Roman" w:cs="Times New Roman"/>
              </w:rPr>
            </w:pPr>
            <w:r>
              <w:rPr>
                <w:rFonts w:ascii="Times New Roman" w:hAnsi="Times New Roman" w:cs="Times New Roman"/>
              </w:rPr>
              <w:t>FIE Tiit Kelder</w:t>
            </w:r>
          </w:p>
        </w:tc>
        <w:tc>
          <w:tcPr>
            <w:tcW w:w="2745" w:type="dxa"/>
          </w:tcPr>
          <w:p w14:paraId="5C9761E2"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36930906" w14:textId="77777777" w:rsidR="008312AA" w:rsidRDefault="00000000">
            <w:pPr>
              <w:jc w:val="left"/>
              <w:rPr>
                <w:rFonts w:ascii="Times New Roman" w:hAnsi="Times New Roman" w:cs="Times New Roman"/>
              </w:rPr>
            </w:pPr>
            <w:r>
              <w:rPr>
                <w:rFonts w:ascii="Times New Roman" w:hAnsi="Times New Roman" w:cs="Times New Roman"/>
              </w:rPr>
              <w:t>Koosolek 21.05.2021, Seminar- ümarlaud 09.07. 2021, koosolek 11. 02.2022, koosolek 19.05.2023</w:t>
            </w:r>
          </w:p>
        </w:tc>
      </w:tr>
      <w:tr w:rsidR="008312AA" w14:paraId="0E1EED54" w14:textId="77777777">
        <w:tc>
          <w:tcPr>
            <w:tcW w:w="762" w:type="dxa"/>
          </w:tcPr>
          <w:p w14:paraId="1492A5CC" w14:textId="77777777" w:rsidR="008312AA" w:rsidRDefault="00000000">
            <w:pPr>
              <w:jc w:val="left"/>
              <w:rPr>
                <w:rFonts w:ascii="Times New Roman" w:hAnsi="Times New Roman" w:cs="Times New Roman"/>
              </w:rPr>
            </w:pPr>
            <w:r>
              <w:rPr>
                <w:rFonts w:ascii="Times New Roman" w:hAnsi="Times New Roman" w:cs="Times New Roman"/>
              </w:rPr>
              <w:t>2</w:t>
            </w:r>
          </w:p>
        </w:tc>
        <w:tc>
          <w:tcPr>
            <w:tcW w:w="2586" w:type="dxa"/>
          </w:tcPr>
          <w:p w14:paraId="58EF42A6" w14:textId="77777777" w:rsidR="008312AA" w:rsidRDefault="00000000">
            <w:pPr>
              <w:jc w:val="left"/>
              <w:rPr>
                <w:rFonts w:ascii="Times New Roman" w:hAnsi="Times New Roman" w:cs="Times New Roman"/>
              </w:rPr>
            </w:pPr>
            <w:r>
              <w:rPr>
                <w:rFonts w:ascii="Times New Roman" w:hAnsi="Times New Roman" w:cs="Times New Roman"/>
              </w:rPr>
              <w:t>Vesikiil OÜ</w:t>
            </w:r>
          </w:p>
        </w:tc>
        <w:tc>
          <w:tcPr>
            <w:tcW w:w="2745" w:type="dxa"/>
          </w:tcPr>
          <w:p w14:paraId="6DDCB557"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725BF0B" w14:textId="77777777" w:rsidR="008312AA" w:rsidRDefault="00000000">
            <w:pPr>
              <w:jc w:val="left"/>
              <w:rPr>
                <w:rFonts w:ascii="Times New Roman" w:hAnsi="Times New Roman" w:cs="Times New Roman"/>
              </w:rPr>
            </w:pPr>
            <w:r>
              <w:rPr>
                <w:rFonts w:ascii="Times New Roman" w:hAnsi="Times New Roman" w:cs="Times New Roman"/>
              </w:rPr>
              <w:t>Koosolek 21.05.2021</w:t>
            </w:r>
          </w:p>
        </w:tc>
      </w:tr>
      <w:tr w:rsidR="008312AA" w14:paraId="39E9B406" w14:textId="77777777">
        <w:tc>
          <w:tcPr>
            <w:tcW w:w="762" w:type="dxa"/>
          </w:tcPr>
          <w:p w14:paraId="53836B4F" w14:textId="77777777" w:rsidR="008312AA" w:rsidRDefault="00000000">
            <w:pPr>
              <w:jc w:val="left"/>
              <w:rPr>
                <w:rFonts w:ascii="Times New Roman" w:hAnsi="Times New Roman" w:cs="Times New Roman"/>
              </w:rPr>
            </w:pPr>
            <w:r>
              <w:rPr>
                <w:rFonts w:ascii="Times New Roman" w:hAnsi="Times New Roman" w:cs="Times New Roman"/>
              </w:rPr>
              <w:t>3</w:t>
            </w:r>
          </w:p>
        </w:tc>
        <w:tc>
          <w:tcPr>
            <w:tcW w:w="2586" w:type="dxa"/>
          </w:tcPr>
          <w:p w14:paraId="73B88D96" w14:textId="77777777" w:rsidR="008312AA" w:rsidRDefault="00000000">
            <w:pPr>
              <w:jc w:val="left"/>
              <w:rPr>
                <w:rFonts w:ascii="Times New Roman" w:hAnsi="Times New Roman" w:cs="Times New Roman"/>
              </w:rPr>
            </w:pPr>
            <w:r>
              <w:rPr>
                <w:rFonts w:ascii="Times New Roman" w:hAnsi="Times New Roman" w:cs="Times New Roman"/>
              </w:rPr>
              <w:t>FIE Toivo Pära</w:t>
            </w:r>
          </w:p>
        </w:tc>
        <w:tc>
          <w:tcPr>
            <w:tcW w:w="2745" w:type="dxa"/>
          </w:tcPr>
          <w:p w14:paraId="0A1CB62C"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0A856112" w14:textId="77777777" w:rsidR="008312AA" w:rsidRDefault="00000000">
            <w:pPr>
              <w:jc w:val="left"/>
              <w:rPr>
                <w:rFonts w:ascii="Times New Roman" w:hAnsi="Times New Roman" w:cs="Times New Roman"/>
              </w:rPr>
            </w:pPr>
            <w:r>
              <w:rPr>
                <w:rFonts w:ascii="Times New Roman" w:hAnsi="Times New Roman" w:cs="Times New Roman"/>
              </w:rPr>
              <w:t>Koosolek 21.05.2021, Seminar- ümarlaud 09.07. 2021, koosolek 17.11.2023</w:t>
            </w:r>
          </w:p>
        </w:tc>
      </w:tr>
      <w:tr w:rsidR="008312AA" w14:paraId="11C4239F" w14:textId="77777777">
        <w:tc>
          <w:tcPr>
            <w:tcW w:w="762" w:type="dxa"/>
          </w:tcPr>
          <w:p w14:paraId="55AC24C4" w14:textId="77777777" w:rsidR="008312AA" w:rsidRDefault="00000000">
            <w:pPr>
              <w:jc w:val="left"/>
              <w:rPr>
                <w:rFonts w:ascii="Times New Roman" w:hAnsi="Times New Roman" w:cs="Times New Roman"/>
              </w:rPr>
            </w:pPr>
            <w:r>
              <w:rPr>
                <w:rFonts w:ascii="Times New Roman" w:hAnsi="Times New Roman" w:cs="Times New Roman"/>
              </w:rPr>
              <w:t>4</w:t>
            </w:r>
          </w:p>
        </w:tc>
        <w:tc>
          <w:tcPr>
            <w:tcW w:w="2586" w:type="dxa"/>
          </w:tcPr>
          <w:p w14:paraId="480B6432" w14:textId="77777777" w:rsidR="008312AA" w:rsidRDefault="00000000">
            <w:pPr>
              <w:jc w:val="left"/>
              <w:rPr>
                <w:rFonts w:ascii="Times New Roman" w:hAnsi="Times New Roman" w:cs="Times New Roman"/>
              </w:rPr>
            </w:pPr>
            <w:r>
              <w:rPr>
                <w:rFonts w:ascii="Times New Roman" w:hAnsi="Times New Roman" w:cs="Times New Roman"/>
              </w:rPr>
              <w:t>FIE Arvo Kullapere</w:t>
            </w:r>
          </w:p>
        </w:tc>
        <w:tc>
          <w:tcPr>
            <w:tcW w:w="2745" w:type="dxa"/>
          </w:tcPr>
          <w:p w14:paraId="780FA8B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0BC7F9BB" w14:textId="77777777" w:rsidR="008312AA" w:rsidRDefault="00000000">
            <w:pPr>
              <w:jc w:val="left"/>
              <w:rPr>
                <w:rFonts w:ascii="Times New Roman" w:hAnsi="Times New Roman" w:cs="Times New Roman"/>
              </w:rPr>
            </w:pPr>
            <w:r>
              <w:rPr>
                <w:rFonts w:ascii="Times New Roman" w:hAnsi="Times New Roman" w:cs="Times New Roman"/>
              </w:rPr>
              <w:t>Koosolek 21.05.2021, koosolek 11. 02.2022, koosolek 17. 11.2023</w:t>
            </w:r>
          </w:p>
        </w:tc>
      </w:tr>
      <w:tr w:rsidR="008312AA" w14:paraId="5CE865AF" w14:textId="77777777">
        <w:tc>
          <w:tcPr>
            <w:tcW w:w="762" w:type="dxa"/>
          </w:tcPr>
          <w:p w14:paraId="2C975671" w14:textId="77777777" w:rsidR="008312AA" w:rsidRDefault="00000000">
            <w:pPr>
              <w:jc w:val="left"/>
              <w:rPr>
                <w:rFonts w:ascii="Times New Roman" w:hAnsi="Times New Roman" w:cs="Times New Roman"/>
              </w:rPr>
            </w:pPr>
            <w:r>
              <w:rPr>
                <w:rFonts w:ascii="Times New Roman" w:hAnsi="Times New Roman" w:cs="Times New Roman"/>
              </w:rPr>
              <w:t>5</w:t>
            </w:r>
          </w:p>
        </w:tc>
        <w:tc>
          <w:tcPr>
            <w:tcW w:w="2586" w:type="dxa"/>
          </w:tcPr>
          <w:p w14:paraId="44DBF20F" w14:textId="77777777" w:rsidR="008312AA" w:rsidRDefault="00000000">
            <w:pPr>
              <w:jc w:val="left"/>
              <w:rPr>
                <w:rFonts w:ascii="Times New Roman" w:hAnsi="Times New Roman" w:cs="Times New Roman"/>
              </w:rPr>
            </w:pPr>
            <w:proofErr w:type="spellStart"/>
            <w:r>
              <w:rPr>
                <w:rFonts w:ascii="Times New Roman" w:hAnsi="Times New Roman" w:cs="Times New Roman"/>
              </w:rPr>
              <w:t>Talmer</w:t>
            </w:r>
            <w:proofErr w:type="spellEnd"/>
            <w:r>
              <w:rPr>
                <w:rFonts w:ascii="Times New Roman" w:hAnsi="Times New Roman" w:cs="Times New Roman"/>
              </w:rPr>
              <w:t xml:space="preserve"> OÜ</w:t>
            </w:r>
          </w:p>
        </w:tc>
        <w:tc>
          <w:tcPr>
            <w:tcW w:w="2745" w:type="dxa"/>
          </w:tcPr>
          <w:p w14:paraId="44E20E7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F514C49" w14:textId="77777777" w:rsidR="008312AA" w:rsidRDefault="00000000">
            <w:pPr>
              <w:jc w:val="left"/>
              <w:rPr>
                <w:rFonts w:ascii="Times New Roman" w:hAnsi="Times New Roman" w:cs="Times New Roman"/>
              </w:rPr>
            </w:pPr>
            <w:r>
              <w:rPr>
                <w:rFonts w:ascii="Times New Roman" w:hAnsi="Times New Roman" w:cs="Times New Roman"/>
              </w:rPr>
              <w:t>Koosolek 21.05.2021</w:t>
            </w:r>
          </w:p>
        </w:tc>
      </w:tr>
      <w:tr w:rsidR="008312AA" w14:paraId="6E9DEE04" w14:textId="77777777">
        <w:tc>
          <w:tcPr>
            <w:tcW w:w="762" w:type="dxa"/>
          </w:tcPr>
          <w:p w14:paraId="5A91CA42" w14:textId="77777777" w:rsidR="008312AA" w:rsidRDefault="00000000">
            <w:pPr>
              <w:jc w:val="left"/>
              <w:rPr>
                <w:rFonts w:ascii="Times New Roman" w:hAnsi="Times New Roman" w:cs="Times New Roman"/>
              </w:rPr>
            </w:pPr>
            <w:r>
              <w:rPr>
                <w:rFonts w:ascii="Times New Roman" w:hAnsi="Times New Roman" w:cs="Times New Roman"/>
              </w:rPr>
              <w:t>6</w:t>
            </w:r>
          </w:p>
        </w:tc>
        <w:tc>
          <w:tcPr>
            <w:tcW w:w="2586" w:type="dxa"/>
          </w:tcPr>
          <w:p w14:paraId="26091E18" w14:textId="77777777" w:rsidR="008312AA" w:rsidRDefault="00000000">
            <w:pPr>
              <w:jc w:val="left"/>
              <w:rPr>
                <w:rFonts w:ascii="Times New Roman" w:hAnsi="Times New Roman" w:cs="Times New Roman"/>
              </w:rPr>
            </w:pPr>
            <w:r>
              <w:rPr>
                <w:rFonts w:ascii="Times New Roman" w:hAnsi="Times New Roman" w:cs="Times New Roman"/>
              </w:rPr>
              <w:t>FIE Tõnis Tasane</w:t>
            </w:r>
          </w:p>
        </w:tc>
        <w:tc>
          <w:tcPr>
            <w:tcW w:w="2745" w:type="dxa"/>
          </w:tcPr>
          <w:p w14:paraId="46D44992"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917517C" w14:textId="77777777" w:rsidR="008312AA" w:rsidRDefault="00000000">
            <w:pPr>
              <w:jc w:val="left"/>
              <w:rPr>
                <w:rFonts w:ascii="Times New Roman" w:hAnsi="Times New Roman" w:cs="Times New Roman"/>
              </w:rPr>
            </w:pPr>
            <w:r>
              <w:rPr>
                <w:rFonts w:ascii="Times New Roman" w:hAnsi="Times New Roman" w:cs="Times New Roman"/>
              </w:rPr>
              <w:t>Koosolek 21.05.2021, koosolek 11. 02. 2022</w:t>
            </w:r>
          </w:p>
        </w:tc>
      </w:tr>
      <w:tr w:rsidR="008312AA" w14:paraId="3AF63942" w14:textId="77777777">
        <w:tc>
          <w:tcPr>
            <w:tcW w:w="762" w:type="dxa"/>
          </w:tcPr>
          <w:p w14:paraId="3BC105D7" w14:textId="77777777" w:rsidR="008312AA" w:rsidRDefault="00000000">
            <w:pPr>
              <w:jc w:val="left"/>
              <w:rPr>
                <w:rFonts w:ascii="Times New Roman" w:hAnsi="Times New Roman" w:cs="Times New Roman"/>
              </w:rPr>
            </w:pPr>
            <w:r>
              <w:rPr>
                <w:rFonts w:ascii="Times New Roman" w:hAnsi="Times New Roman" w:cs="Times New Roman"/>
              </w:rPr>
              <w:t>7</w:t>
            </w:r>
          </w:p>
        </w:tc>
        <w:tc>
          <w:tcPr>
            <w:tcW w:w="2586" w:type="dxa"/>
          </w:tcPr>
          <w:p w14:paraId="7709E2A4" w14:textId="77777777" w:rsidR="008312AA" w:rsidRDefault="00000000">
            <w:pPr>
              <w:jc w:val="left"/>
              <w:rPr>
                <w:rFonts w:ascii="Times New Roman" w:hAnsi="Times New Roman" w:cs="Times New Roman"/>
              </w:rPr>
            </w:pPr>
            <w:r>
              <w:rPr>
                <w:rFonts w:ascii="Times New Roman" w:hAnsi="Times New Roman" w:cs="Times New Roman"/>
              </w:rPr>
              <w:t xml:space="preserve">AS Baltic </w:t>
            </w:r>
            <w:proofErr w:type="spellStart"/>
            <w:r>
              <w:rPr>
                <w:rFonts w:ascii="Times New Roman" w:hAnsi="Times New Roman" w:cs="Times New Roman"/>
              </w:rPr>
              <w:t>Workboats</w:t>
            </w:r>
            <w:proofErr w:type="spellEnd"/>
          </w:p>
        </w:tc>
        <w:tc>
          <w:tcPr>
            <w:tcW w:w="2745" w:type="dxa"/>
          </w:tcPr>
          <w:p w14:paraId="5148B01A"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6C98BF77" w14:textId="77777777" w:rsidR="008312AA" w:rsidRDefault="00000000">
            <w:pPr>
              <w:jc w:val="left"/>
              <w:rPr>
                <w:rFonts w:ascii="Times New Roman" w:hAnsi="Times New Roman" w:cs="Times New Roman"/>
              </w:rPr>
            </w:pPr>
            <w:r>
              <w:rPr>
                <w:rFonts w:ascii="Times New Roman" w:hAnsi="Times New Roman" w:cs="Times New Roman"/>
              </w:rPr>
              <w:t>Koosolek 21.05.2021</w:t>
            </w:r>
          </w:p>
        </w:tc>
      </w:tr>
      <w:tr w:rsidR="008312AA" w14:paraId="78DB2658" w14:textId="77777777">
        <w:tc>
          <w:tcPr>
            <w:tcW w:w="762" w:type="dxa"/>
          </w:tcPr>
          <w:p w14:paraId="12FF6ABA" w14:textId="77777777" w:rsidR="008312AA" w:rsidRDefault="00000000">
            <w:pPr>
              <w:jc w:val="left"/>
              <w:rPr>
                <w:rFonts w:ascii="Times New Roman" w:hAnsi="Times New Roman" w:cs="Times New Roman"/>
              </w:rPr>
            </w:pPr>
            <w:r>
              <w:rPr>
                <w:rFonts w:ascii="Times New Roman" w:hAnsi="Times New Roman" w:cs="Times New Roman"/>
              </w:rPr>
              <w:t>8</w:t>
            </w:r>
          </w:p>
        </w:tc>
        <w:tc>
          <w:tcPr>
            <w:tcW w:w="2586" w:type="dxa"/>
          </w:tcPr>
          <w:p w14:paraId="6BAE1B90" w14:textId="77777777" w:rsidR="008312AA" w:rsidRDefault="00000000">
            <w:pPr>
              <w:jc w:val="left"/>
              <w:rPr>
                <w:rFonts w:ascii="Times New Roman" w:hAnsi="Times New Roman" w:cs="Times New Roman"/>
              </w:rPr>
            </w:pPr>
            <w:r>
              <w:rPr>
                <w:rFonts w:ascii="Times New Roman" w:hAnsi="Times New Roman" w:cs="Times New Roman"/>
              </w:rPr>
              <w:t>Saaremaa Vallavalitsus</w:t>
            </w:r>
          </w:p>
        </w:tc>
        <w:tc>
          <w:tcPr>
            <w:tcW w:w="2745" w:type="dxa"/>
          </w:tcPr>
          <w:p w14:paraId="116453C8" w14:textId="77777777" w:rsidR="008312AA" w:rsidRDefault="00000000">
            <w:pPr>
              <w:jc w:val="left"/>
              <w:rPr>
                <w:rFonts w:ascii="Times New Roman" w:hAnsi="Times New Roman" w:cs="Times New Roman"/>
              </w:rPr>
            </w:pPr>
            <w:r>
              <w:rPr>
                <w:rFonts w:ascii="Times New Roman" w:hAnsi="Times New Roman" w:cs="Times New Roman"/>
              </w:rPr>
              <w:t>KOV</w:t>
            </w:r>
          </w:p>
        </w:tc>
        <w:tc>
          <w:tcPr>
            <w:tcW w:w="2968" w:type="dxa"/>
          </w:tcPr>
          <w:p w14:paraId="50EEEBDC" w14:textId="77777777" w:rsidR="008312AA" w:rsidRDefault="00000000">
            <w:pPr>
              <w:jc w:val="left"/>
              <w:rPr>
                <w:rFonts w:ascii="Times New Roman" w:hAnsi="Times New Roman" w:cs="Times New Roman"/>
              </w:rPr>
            </w:pPr>
            <w:r>
              <w:rPr>
                <w:rFonts w:ascii="Times New Roman" w:hAnsi="Times New Roman" w:cs="Times New Roman"/>
              </w:rPr>
              <w:t>Koosolek 21.05.2021, koosolek 11.02.2022, sisendi andmine 24.03. 2022, koosolek 15.06.2023</w:t>
            </w:r>
          </w:p>
        </w:tc>
      </w:tr>
      <w:tr w:rsidR="008312AA" w14:paraId="136749D1" w14:textId="77777777">
        <w:tc>
          <w:tcPr>
            <w:tcW w:w="762" w:type="dxa"/>
          </w:tcPr>
          <w:p w14:paraId="0A5AEC7E" w14:textId="77777777" w:rsidR="008312AA" w:rsidRDefault="00000000">
            <w:pPr>
              <w:jc w:val="left"/>
              <w:rPr>
                <w:rFonts w:ascii="Times New Roman" w:hAnsi="Times New Roman" w:cs="Times New Roman"/>
              </w:rPr>
            </w:pPr>
            <w:r>
              <w:rPr>
                <w:rFonts w:ascii="Times New Roman" w:hAnsi="Times New Roman" w:cs="Times New Roman"/>
              </w:rPr>
              <w:t>9</w:t>
            </w:r>
          </w:p>
        </w:tc>
        <w:tc>
          <w:tcPr>
            <w:tcW w:w="2586" w:type="dxa"/>
          </w:tcPr>
          <w:p w14:paraId="5D2F4E40" w14:textId="77777777" w:rsidR="008312AA" w:rsidRDefault="00000000">
            <w:pPr>
              <w:jc w:val="left"/>
              <w:rPr>
                <w:rFonts w:ascii="Times New Roman" w:hAnsi="Times New Roman" w:cs="Times New Roman"/>
              </w:rPr>
            </w:pPr>
            <w:r>
              <w:rPr>
                <w:rFonts w:ascii="Times New Roman" w:hAnsi="Times New Roman" w:cs="Times New Roman"/>
              </w:rPr>
              <w:t>Keskkonnaamet</w:t>
            </w:r>
          </w:p>
        </w:tc>
        <w:tc>
          <w:tcPr>
            <w:tcW w:w="2745" w:type="dxa"/>
          </w:tcPr>
          <w:p w14:paraId="7AD9DB17" w14:textId="77777777" w:rsidR="008312AA" w:rsidRDefault="00000000">
            <w:pPr>
              <w:jc w:val="left"/>
              <w:rPr>
                <w:rFonts w:ascii="Times New Roman" w:hAnsi="Times New Roman" w:cs="Times New Roman"/>
              </w:rPr>
            </w:pPr>
            <w:r>
              <w:rPr>
                <w:rFonts w:ascii="Times New Roman" w:hAnsi="Times New Roman" w:cs="Times New Roman"/>
              </w:rPr>
              <w:t>Avalik sektor</w:t>
            </w:r>
          </w:p>
        </w:tc>
        <w:tc>
          <w:tcPr>
            <w:tcW w:w="2968" w:type="dxa"/>
          </w:tcPr>
          <w:p w14:paraId="12B70C80" w14:textId="77777777" w:rsidR="008312AA" w:rsidRDefault="00000000">
            <w:pPr>
              <w:jc w:val="left"/>
              <w:rPr>
                <w:rFonts w:ascii="Times New Roman" w:hAnsi="Times New Roman" w:cs="Times New Roman"/>
              </w:rPr>
            </w:pPr>
            <w:r>
              <w:rPr>
                <w:rFonts w:ascii="Times New Roman" w:hAnsi="Times New Roman" w:cs="Times New Roman"/>
              </w:rPr>
              <w:t>Seminar- ümarlaud 09 07. 2021</w:t>
            </w:r>
          </w:p>
        </w:tc>
      </w:tr>
      <w:tr w:rsidR="008312AA" w14:paraId="5CC6826D" w14:textId="77777777">
        <w:tc>
          <w:tcPr>
            <w:tcW w:w="762" w:type="dxa"/>
          </w:tcPr>
          <w:p w14:paraId="7C879D0E" w14:textId="77777777" w:rsidR="008312AA" w:rsidRDefault="00000000">
            <w:pPr>
              <w:jc w:val="left"/>
              <w:rPr>
                <w:rFonts w:ascii="Times New Roman" w:hAnsi="Times New Roman" w:cs="Times New Roman"/>
              </w:rPr>
            </w:pPr>
            <w:r>
              <w:rPr>
                <w:rFonts w:ascii="Times New Roman" w:hAnsi="Times New Roman" w:cs="Times New Roman"/>
              </w:rPr>
              <w:t>10</w:t>
            </w:r>
          </w:p>
        </w:tc>
        <w:tc>
          <w:tcPr>
            <w:tcW w:w="2586" w:type="dxa"/>
          </w:tcPr>
          <w:p w14:paraId="79A122E2" w14:textId="77777777" w:rsidR="008312AA" w:rsidRDefault="00000000">
            <w:pPr>
              <w:jc w:val="left"/>
              <w:rPr>
                <w:rFonts w:ascii="Times New Roman" w:hAnsi="Times New Roman" w:cs="Times New Roman"/>
              </w:rPr>
            </w:pPr>
            <w:r>
              <w:rPr>
                <w:rFonts w:ascii="Times New Roman" w:hAnsi="Times New Roman" w:cs="Times New Roman"/>
              </w:rPr>
              <w:t>TÜ Eesti Mereinstituut</w:t>
            </w:r>
          </w:p>
        </w:tc>
        <w:tc>
          <w:tcPr>
            <w:tcW w:w="2745" w:type="dxa"/>
          </w:tcPr>
          <w:p w14:paraId="35C44199" w14:textId="77777777" w:rsidR="008312AA" w:rsidRDefault="00000000">
            <w:pPr>
              <w:jc w:val="left"/>
              <w:rPr>
                <w:rFonts w:ascii="Times New Roman" w:hAnsi="Times New Roman" w:cs="Times New Roman"/>
              </w:rPr>
            </w:pPr>
            <w:r>
              <w:rPr>
                <w:rFonts w:ascii="Times New Roman" w:hAnsi="Times New Roman" w:cs="Times New Roman"/>
              </w:rPr>
              <w:t>Avalik sektor</w:t>
            </w:r>
          </w:p>
        </w:tc>
        <w:tc>
          <w:tcPr>
            <w:tcW w:w="2968" w:type="dxa"/>
          </w:tcPr>
          <w:p w14:paraId="45154A0C"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11.02.2022</w:t>
            </w:r>
          </w:p>
        </w:tc>
      </w:tr>
      <w:tr w:rsidR="008312AA" w14:paraId="4C15606C" w14:textId="77777777">
        <w:tc>
          <w:tcPr>
            <w:tcW w:w="762" w:type="dxa"/>
          </w:tcPr>
          <w:p w14:paraId="46868828" w14:textId="77777777" w:rsidR="008312AA" w:rsidRDefault="00000000">
            <w:pPr>
              <w:jc w:val="left"/>
              <w:rPr>
                <w:rFonts w:ascii="Times New Roman" w:hAnsi="Times New Roman" w:cs="Times New Roman"/>
              </w:rPr>
            </w:pPr>
            <w:r>
              <w:rPr>
                <w:rFonts w:ascii="Times New Roman" w:hAnsi="Times New Roman" w:cs="Times New Roman"/>
              </w:rPr>
              <w:t>11</w:t>
            </w:r>
          </w:p>
        </w:tc>
        <w:tc>
          <w:tcPr>
            <w:tcW w:w="2586" w:type="dxa"/>
          </w:tcPr>
          <w:p w14:paraId="32224A56" w14:textId="77777777" w:rsidR="008312AA" w:rsidRDefault="00000000">
            <w:pPr>
              <w:jc w:val="left"/>
              <w:rPr>
                <w:rFonts w:ascii="Times New Roman" w:hAnsi="Times New Roman" w:cs="Times New Roman"/>
              </w:rPr>
            </w:pPr>
            <w:r>
              <w:rPr>
                <w:rFonts w:ascii="Times New Roman" w:hAnsi="Times New Roman" w:cs="Times New Roman"/>
              </w:rPr>
              <w:t>Aruheinamaa OÜ</w:t>
            </w:r>
          </w:p>
        </w:tc>
        <w:tc>
          <w:tcPr>
            <w:tcW w:w="2745" w:type="dxa"/>
          </w:tcPr>
          <w:p w14:paraId="688A9CFB"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8B53DEC"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5479151E" w14:textId="77777777">
        <w:tc>
          <w:tcPr>
            <w:tcW w:w="762" w:type="dxa"/>
          </w:tcPr>
          <w:p w14:paraId="6B20F955" w14:textId="77777777" w:rsidR="008312AA" w:rsidRDefault="00000000">
            <w:pPr>
              <w:jc w:val="left"/>
              <w:rPr>
                <w:rFonts w:ascii="Times New Roman" w:hAnsi="Times New Roman" w:cs="Times New Roman"/>
              </w:rPr>
            </w:pPr>
            <w:r>
              <w:rPr>
                <w:rFonts w:ascii="Times New Roman" w:hAnsi="Times New Roman" w:cs="Times New Roman"/>
              </w:rPr>
              <w:t>12</w:t>
            </w:r>
          </w:p>
        </w:tc>
        <w:tc>
          <w:tcPr>
            <w:tcW w:w="2586" w:type="dxa"/>
          </w:tcPr>
          <w:p w14:paraId="6B0A1382" w14:textId="77777777" w:rsidR="008312AA" w:rsidRDefault="00000000">
            <w:pPr>
              <w:jc w:val="left"/>
              <w:rPr>
                <w:rFonts w:ascii="Times New Roman" w:hAnsi="Times New Roman" w:cs="Times New Roman"/>
              </w:rPr>
            </w:pPr>
            <w:r>
              <w:rPr>
                <w:rFonts w:ascii="Times New Roman" w:hAnsi="Times New Roman" w:cs="Times New Roman"/>
              </w:rPr>
              <w:t>Kalanduse teabekeskus</w:t>
            </w:r>
          </w:p>
        </w:tc>
        <w:tc>
          <w:tcPr>
            <w:tcW w:w="2745" w:type="dxa"/>
          </w:tcPr>
          <w:p w14:paraId="7C9B5623" w14:textId="77777777" w:rsidR="008312AA" w:rsidRDefault="00000000">
            <w:pPr>
              <w:jc w:val="left"/>
              <w:rPr>
                <w:rFonts w:ascii="Times New Roman" w:hAnsi="Times New Roman" w:cs="Times New Roman"/>
              </w:rPr>
            </w:pPr>
            <w:r>
              <w:rPr>
                <w:rFonts w:ascii="Times New Roman" w:hAnsi="Times New Roman" w:cs="Times New Roman"/>
              </w:rPr>
              <w:t>Avalik sektor</w:t>
            </w:r>
          </w:p>
        </w:tc>
        <w:tc>
          <w:tcPr>
            <w:tcW w:w="2968" w:type="dxa"/>
          </w:tcPr>
          <w:p w14:paraId="6E447CEA"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0F204579" w14:textId="77777777">
        <w:tc>
          <w:tcPr>
            <w:tcW w:w="762" w:type="dxa"/>
          </w:tcPr>
          <w:p w14:paraId="442C0055" w14:textId="77777777" w:rsidR="008312AA" w:rsidRDefault="00000000">
            <w:pPr>
              <w:jc w:val="left"/>
              <w:rPr>
                <w:rFonts w:ascii="Times New Roman" w:hAnsi="Times New Roman" w:cs="Times New Roman"/>
              </w:rPr>
            </w:pPr>
            <w:r>
              <w:rPr>
                <w:rFonts w:ascii="Times New Roman" w:hAnsi="Times New Roman" w:cs="Times New Roman"/>
              </w:rPr>
              <w:t>13</w:t>
            </w:r>
          </w:p>
        </w:tc>
        <w:tc>
          <w:tcPr>
            <w:tcW w:w="2586" w:type="dxa"/>
          </w:tcPr>
          <w:p w14:paraId="67158DF3" w14:textId="77777777" w:rsidR="008312AA" w:rsidRDefault="00000000">
            <w:pPr>
              <w:jc w:val="left"/>
              <w:rPr>
                <w:rFonts w:ascii="Times New Roman" w:hAnsi="Times New Roman" w:cs="Times New Roman"/>
              </w:rPr>
            </w:pPr>
            <w:r>
              <w:rPr>
                <w:rFonts w:ascii="Times New Roman" w:hAnsi="Times New Roman" w:cs="Times New Roman"/>
              </w:rPr>
              <w:t>FIE Aivar Sõrm</w:t>
            </w:r>
          </w:p>
        </w:tc>
        <w:tc>
          <w:tcPr>
            <w:tcW w:w="2745" w:type="dxa"/>
          </w:tcPr>
          <w:p w14:paraId="40F391A6"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B275622"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054CC7E0" w14:textId="77777777">
        <w:tc>
          <w:tcPr>
            <w:tcW w:w="762" w:type="dxa"/>
          </w:tcPr>
          <w:p w14:paraId="6415F4BE" w14:textId="77777777" w:rsidR="008312AA" w:rsidRDefault="00000000">
            <w:pPr>
              <w:jc w:val="left"/>
              <w:rPr>
                <w:rFonts w:ascii="Times New Roman" w:hAnsi="Times New Roman" w:cs="Times New Roman"/>
              </w:rPr>
            </w:pPr>
            <w:r>
              <w:rPr>
                <w:rFonts w:ascii="Times New Roman" w:hAnsi="Times New Roman" w:cs="Times New Roman"/>
              </w:rPr>
              <w:t>14</w:t>
            </w:r>
          </w:p>
        </w:tc>
        <w:tc>
          <w:tcPr>
            <w:tcW w:w="2586" w:type="dxa"/>
          </w:tcPr>
          <w:p w14:paraId="395B094C" w14:textId="77777777" w:rsidR="008312AA" w:rsidRDefault="00000000">
            <w:pPr>
              <w:jc w:val="left"/>
              <w:rPr>
                <w:rFonts w:ascii="Times New Roman" w:hAnsi="Times New Roman" w:cs="Times New Roman"/>
              </w:rPr>
            </w:pPr>
            <w:r>
              <w:rPr>
                <w:rFonts w:ascii="Times New Roman" w:hAnsi="Times New Roman" w:cs="Times New Roman"/>
              </w:rPr>
              <w:t>FIE Jaan Ärmus</w:t>
            </w:r>
          </w:p>
        </w:tc>
        <w:tc>
          <w:tcPr>
            <w:tcW w:w="2745" w:type="dxa"/>
          </w:tcPr>
          <w:p w14:paraId="74806E2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7E0E4A7E"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11.02.2022</w:t>
            </w:r>
          </w:p>
        </w:tc>
      </w:tr>
      <w:tr w:rsidR="008312AA" w14:paraId="6B383DBC" w14:textId="77777777">
        <w:tc>
          <w:tcPr>
            <w:tcW w:w="762" w:type="dxa"/>
          </w:tcPr>
          <w:p w14:paraId="6D9C98D7" w14:textId="77777777" w:rsidR="008312AA" w:rsidRDefault="00000000">
            <w:pPr>
              <w:jc w:val="left"/>
              <w:rPr>
                <w:rFonts w:ascii="Times New Roman" w:hAnsi="Times New Roman" w:cs="Times New Roman"/>
              </w:rPr>
            </w:pPr>
            <w:r>
              <w:rPr>
                <w:rFonts w:ascii="Times New Roman" w:hAnsi="Times New Roman" w:cs="Times New Roman"/>
              </w:rPr>
              <w:t>15</w:t>
            </w:r>
          </w:p>
        </w:tc>
        <w:tc>
          <w:tcPr>
            <w:tcW w:w="2586" w:type="dxa"/>
          </w:tcPr>
          <w:p w14:paraId="2BA0605A" w14:textId="77777777" w:rsidR="008312AA" w:rsidRDefault="00000000">
            <w:pPr>
              <w:jc w:val="left"/>
              <w:rPr>
                <w:rFonts w:ascii="Times New Roman" w:hAnsi="Times New Roman" w:cs="Times New Roman"/>
              </w:rPr>
            </w:pPr>
            <w:r>
              <w:rPr>
                <w:rFonts w:ascii="Times New Roman" w:hAnsi="Times New Roman" w:cs="Times New Roman"/>
              </w:rPr>
              <w:t>MTÜ Turja Kalastajate Selts</w:t>
            </w:r>
          </w:p>
        </w:tc>
        <w:tc>
          <w:tcPr>
            <w:tcW w:w="2745" w:type="dxa"/>
          </w:tcPr>
          <w:p w14:paraId="429D1411"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1F17B2EF"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11.02.2022, koosolek 11.02.2022</w:t>
            </w:r>
          </w:p>
        </w:tc>
      </w:tr>
      <w:tr w:rsidR="008312AA" w14:paraId="29FF3505" w14:textId="77777777">
        <w:tc>
          <w:tcPr>
            <w:tcW w:w="762" w:type="dxa"/>
          </w:tcPr>
          <w:p w14:paraId="67A53700" w14:textId="77777777" w:rsidR="008312AA" w:rsidRDefault="00000000">
            <w:pPr>
              <w:jc w:val="left"/>
              <w:rPr>
                <w:rFonts w:ascii="Times New Roman" w:hAnsi="Times New Roman" w:cs="Times New Roman"/>
              </w:rPr>
            </w:pPr>
            <w:r>
              <w:rPr>
                <w:rFonts w:ascii="Times New Roman" w:hAnsi="Times New Roman" w:cs="Times New Roman"/>
              </w:rPr>
              <w:t>16</w:t>
            </w:r>
          </w:p>
        </w:tc>
        <w:tc>
          <w:tcPr>
            <w:tcW w:w="2586" w:type="dxa"/>
          </w:tcPr>
          <w:p w14:paraId="483BF5CF" w14:textId="77777777" w:rsidR="008312AA" w:rsidRDefault="00000000">
            <w:pPr>
              <w:jc w:val="left"/>
              <w:rPr>
                <w:rFonts w:ascii="Times New Roman" w:hAnsi="Times New Roman" w:cs="Times New Roman"/>
              </w:rPr>
            </w:pPr>
            <w:proofErr w:type="spellStart"/>
            <w:r>
              <w:rPr>
                <w:rFonts w:ascii="Times New Roman" w:hAnsi="Times New Roman" w:cs="Times New Roman"/>
              </w:rPr>
              <w:t>Sarman</w:t>
            </w:r>
            <w:proofErr w:type="spellEnd"/>
            <w:r>
              <w:rPr>
                <w:rFonts w:ascii="Times New Roman" w:hAnsi="Times New Roman" w:cs="Times New Roman"/>
              </w:rPr>
              <w:t xml:space="preserve"> OÜ</w:t>
            </w:r>
          </w:p>
        </w:tc>
        <w:tc>
          <w:tcPr>
            <w:tcW w:w="2745" w:type="dxa"/>
          </w:tcPr>
          <w:p w14:paraId="3F51D4E0"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1606493"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3EAAFEAF" w14:textId="77777777">
        <w:tc>
          <w:tcPr>
            <w:tcW w:w="762" w:type="dxa"/>
          </w:tcPr>
          <w:p w14:paraId="3EA1BD95" w14:textId="77777777" w:rsidR="008312AA" w:rsidRDefault="00000000">
            <w:pPr>
              <w:jc w:val="left"/>
              <w:rPr>
                <w:rFonts w:ascii="Times New Roman" w:hAnsi="Times New Roman" w:cs="Times New Roman"/>
              </w:rPr>
            </w:pPr>
            <w:r>
              <w:rPr>
                <w:rFonts w:ascii="Times New Roman" w:hAnsi="Times New Roman" w:cs="Times New Roman"/>
              </w:rPr>
              <w:t>17</w:t>
            </w:r>
          </w:p>
        </w:tc>
        <w:tc>
          <w:tcPr>
            <w:tcW w:w="2586" w:type="dxa"/>
          </w:tcPr>
          <w:p w14:paraId="5DF2E2E1" w14:textId="77777777" w:rsidR="008312AA" w:rsidRDefault="00000000">
            <w:pPr>
              <w:jc w:val="left"/>
              <w:rPr>
                <w:rFonts w:ascii="Times New Roman" w:hAnsi="Times New Roman" w:cs="Times New Roman"/>
              </w:rPr>
            </w:pPr>
            <w:r>
              <w:rPr>
                <w:rFonts w:ascii="Times New Roman" w:hAnsi="Times New Roman" w:cs="Times New Roman"/>
              </w:rPr>
              <w:t>Saare Fishexport OÜ</w:t>
            </w:r>
          </w:p>
        </w:tc>
        <w:tc>
          <w:tcPr>
            <w:tcW w:w="2745" w:type="dxa"/>
          </w:tcPr>
          <w:p w14:paraId="49F6C53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1AF83236" w14:textId="77777777" w:rsidR="008312AA" w:rsidRDefault="00000000">
            <w:pPr>
              <w:jc w:val="left"/>
              <w:rPr>
                <w:rFonts w:ascii="Times New Roman" w:hAnsi="Times New Roman" w:cs="Times New Roman"/>
              </w:rPr>
            </w:pPr>
            <w:r>
              <w:rPr>
                <w:rFonts w:ascii="Times New Roman" w:hAnsi="Times New Roman" w:cs="Times New Roman"/>
              </w:rPr>
              <w:t>Seminar- ümarlaud 09.07. 2021</w:t>
            </w:r>
          </w:p>
        </w:tc>
      </w:tr>
      <w:tr w:rsidR="008312AA" w14:paraId="4F0FF03F" w14:textId="77777777">
        <w:tc>
          <w:tcPr>
            <w:tcW w:w="762" w:type="dxa"/>
          </w:tcPr>
          <w:p w14:paraId="40F95AD6" w14:textId="77777777" w:rsidR="008312AA" w:rsidRDefault="00000000">
            <w:pPr>
              <w:jc w:val="left"/>
              <w:rPr>
                <w:rFonts w:ascii="Times New Roman" w:hAnsi="Times New Roman" w:cs="Times New Roman"/>
              </w:rPr>
            </w:pPr>
            <w:r>
              <w:rPr>
                <w:rFonts w:ascii="Times New Roman" w:hAnsi="Times New Roman" w:cs="Times New Roman"/>
              </w:rPr>
              <w:lastRenderedPageBreak/>
              <w:t>18</w:t>
            </w:r>
          </w:p>
        </w:tc>
        <w:tc>
          <w:tcPr>
            <w:tcW w:w="2586" w:type="dxa"/>
          </w:tcPr>
          <w:p w14:paraId="391EA6B9" w14:textId="77777777" w:rsidR="008312AA" w:rsidRDefault="00000000">
            <w:pPr>
              <w:jc w:val="left"/>
              <w:rPr>
                <w:rFonts w:ascii="Times New Roman" w:hAnsi="Times New Roman" w:cs="Times New Roman"/>
              </w:rPr>
            </w:pPr>
            <w:r>
              <w:rPr>
                <w:rFonts w:ascii="Times New Roman" w:hAnsi="Times New Roman" w:cs="Times New Roman"/>
              </w:rPr>
              <w:t>FIE Rein Kuusk</w:t>
            </w:r>
          </w:p>
        </w:tc>
        <w:tc>
          <w:tcPr>
            <w:tcW w:w="2745" w:type="dxa"/>
          </w:tcPr>
          <w:p w14:paraId="67EEDF05"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1EEBE86"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15.06.2023</w:t>
            </w:r>
          </w:p>
        </w:tc>
      </w:tr>
      <w:tr w:rsidR="008312AA" w14:paraId="1F541A78" w14:textId="77777777">
        <w:tc>
          <w:tcPr>
            <w:tcW w:w="762" w:type="dxa"/>
          </w:tcPr>
          <w:p w14:paraId="31808B5C" w14:textId="77777777" w:rsidR="008312AA" w:rsidRDefault="00000000">
            <w:pPr>
              <w:jc w:val="left"/>
              <w:rPr>
                <w:rFonts w:ascii="Times New Roman" w:hAnsi="Times New Roman" w:cs="Times New Roman"/>
              </w:rPr>
            </w:pPr>
            <w:r>
              <w:rPr>
                <w:rFonts w:ascii="Times New Roman" w:hAnsi="Times New Roman" w:cs="Times New Roman"/>
              </w:rPr>
              <w:t>19</w:t>
            </w:r>
          </w:p>
        </w:tc>
        <w:tc>
          <w:tcPr>
            <w:tcW w:w="2586" w:type="dxa"/>
          </w:tcPr>
          <w:p w14:paraId="2B6F2689" w14:textId="77777777" w:rsidR="008312AA" w:rsidRDefault="00000000">
            <w:pPr>
              <w:jc w:val="left"/>
              <w:rPr>
                <w:rFonts w:ascii="Times New Roman" w:hAnsi="Times New Roman" w:cs="Times New Roman"/>
              </w:rPr>
            </w:pPr>
            <w:r>
              <w:rPr>
                <w:rFonts w:ascii="Times New Roman" w:hAnsi="Times New Roman" w:cs="Times New Roman"/>
              </w:rPr>
              <w:t>Kaabeltau OÜ</w:t>
            </w:r>
          </w:p>
        </w:tc>
        <w:tc>
          <w:tcPr>
            <w:tcW w:w="2745" w:type="dxa"/>
          </w:tcPr>
          <w:p w14:paraId="62260EA3"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90C7E3F" w14:textId="77777777" w:rsidR="008312AA" w:rsidRDefault="00000000">
            <w:pPr>
              <w:jc w:val="left"/>
              <w:rPr>
                <w:rFonts w:ascii="Times New Roman" w:hAnsi="Times New Roman" w:cs="Times New Roman"/>
              </w:rPr>
            </w:pPr>
            <w:r>
              <w:rPr>
                <w:rFonts w:ascii="Times New Roman" w:hAnsi="Times New Roman" w:cs="Times New Roman"/>
              </w:rPr>
              <w:t>Seminar- ümarlaud 09.07. 2021, koosolek 11.02.2022</w:t>
            </w:r>
          </w:p>
        </w:tc>
      </w:tr>
      <w:tr w:rsidR="008312AA" w14:paraId="65186CED" w14:textId="77777777">
        <w:tc>
          <w:tcPr>
            <w:tcW w:w="762" w:type="dxa"/>
          </w:tcPr>
          <w:p w14:paraId="7888306D" w14:textId="77777777" w:rsidR="008312AA" w:rsidRDefault="00000000">
            <w:pPr>
              <w:jc w:val="left"/>
              <w:rPr>
                <w:rFonts w:ascii="Times New Roman" w:hAnsi="Times New Roman" w:cs="Times New Roman"/>
              </w:rPr>
            </w:pPr>
            <w:r>
              <w:rPr>
                <w:rFonts w:ascii="Times New Roman" w:hAnsi="Times New Roman" w:cs="Times New Roman"/>
              </w:rPr>
              <w:t>20</w:t>
            </w:r>
          </w:p>
        </w:tc>
        <w:tc>
          <w:tcPr>
            <w:tcW w:w="2586" w:type="dxa"/>
          </w:tcPr>
          <w:p w14:paraId="1BB6C6B4" w14:textId="77777777" w:rsidR="008312AA" w:rsidRDefault="00000000">
            <w:pPr>
              <w:jc w:val="left"/>
              <w:rPr>
                <w:rFonts w:ascii="Times New Roman" w:hAnsi="Times New Roman" w:cs="Times New Roman"/>
              </w:rPr>
            </w:pPr>
            <w:r>
              <w:rPr>
                <w:rFonts w:ascii="Times New Roman" w:hAnsi="Times New Roman" w:cs="Times New Roman"/>
              </w:rPr>
              <w:t>MTÜ PRO Mare</w:t>
            </w:r>
          </w:p>
        </w:tc>
        <w:tc>
          <w:tcPr>
            <w:tcW w:w="2745" w:type="dxa"/>
          </w:tcPr>
          <w:p w14:paraId="4DF199AB"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48A10A64" w14:textId="77777777" w:rsidR="008312AA" w:rsidRDefault="00000000">
            <w:pPr>
              <w:jc w:val="left"/>
              <w:rPr>
                <w:rFonts w:ascii="Times New Roman" w:hAnsi="Times New Roman" w:cs="Times New Roman"/>
              </w:rPr>
            </w:pPr>
            <w:r>
              <w:rPr>
                <w:rFonts w:ascii="Times New Roman" w:hAnsi="Times New Roman" w:cs="Times New Roman"/>
              </w:rPr>
              <w:t>Seminar- ümarlaud 09. 07. 2021</w:t>
            </w:r>
          </w:p>
        </w:tc>
      </w:tr>
      <w:tr w:rsidR="008312AA" w14:paraId="07D7FEBE" w14:textId="77777777">
        <w:tc>
          <w:tcPr>
            <w:tcW w:w="762" w:type="dxa"/>
          </w:tcPr>
          <w:p w14:paraId="7517AEB0" w14:textId="77777777" w:rsidR="008312AA" w:rsidRDefault="00000000">
            <w:pPr>
              <w:jc w:val="left"/>
              <w:rPr>
                <w:rFonts w:ascii="Times New Roman" w:hAnsi="Times New Roman" w:cs="Times New Roman"/>
              </w:rPr>
            </w:pPr>
            <w:r>
              <w:rPr>
                <w:rFonts w:ascii="Times New Roman" w:hAnsi="Times New Roman" w:cs="Times New Roman"/>
              </w:rPr>
              <w:t>21</w:t>
            </w:r>
          </w:p>
        </w:tc>
        <w:tc>
          <w:tcPr>
            <w:tcW w:w="2586" w:type="dxa"/>
          </w:tcPr>
          <w:p w14:paraId="28959A0A" w14:textId="77777777" w:rsidR="008312AA" w:rsidRDefault="00000000">
            <w:pPr>
              <w:jc w:val="left"/>
              <w:rPr>
                <w:rFonts w:ascii="Times New Roman" w:hAnsi="Times New Roman" w:cs="Times New Roman"/>
              </w:rPr>
            </w:pPr>
            <w:proofErr w:type="spellStart"/>
            <w:r>
              <w:rPr>
                <w:rFonts w:ascii="Times New Roman" w:hAnsi="Times New Roman" w:cs="Times New Roman"/>
              </w:rPr>
              <w:t>Cumulus</w:t>
            </w:r>
            <w:proofErr w:type="spellEnd"/>
            <w:r>
              <w:rPr>
                <w:rFonts w:ascii="Times New Roman" w:hAnsi="Times New Roman" w:cs="Times New Roman"/>
              </w:rPr>
              <w:t xml:space="preserve"> Consulting OÜ</w:t>
            </w:r>
          </w:p>
        </w:tc>
        <w:tc>
          <w:tcPr>
            <w:tcW w:w="2745" w:type="dxa"/>
          </w:tcPr>
          <w:p w14:paraId="0E432E1A"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424C6553" w14:textId="77777777" w:rsidR="008312AA" w:rsidRDefault="00000000">
            <w:pPr>
              <w:jc w:val="left"/>
              <w:rPr>
                <w:rFonts w:ascii="Times New Roman" w:hAnsi="Times New Roman" w:cs="Times New Roman"/>
              </w:rPr>
            </w:pPr>
            <w:r>
              <w:rPr>
                <w:rFonts w:ascii="Times New Roman" w:hAnsi="Times New Roman" w:cs="Times New Roman"/>
              </w:rPr>
              <w:t>Koosolek 11. 02.2022, koosolek 06.04.2022</w:t>
            </w:r>
          </w:p>
        </w:tc>
      </w:tr>
      <w:tr w:rsidR="008312AA" w14:paraId="773EEB79" w14:textId="77777777">
        <w:tc>
          <w:tcPr>
            <w:tcW w:w="762" w:type="dxa"/>
          </w:tcPr>
          <w:p w14:paraId="04546D7C" w14:textId="77777777" w:rsidR="008312AA" w:rsidRDefault="00000000">
            <w:pPr>
              <w:jc w:val="left"/>
              <w:rPr>
                <w:rFonts w:ascii="Times New Roman" w:hAnsi="Times New Roman" w:cs="Times New Roman"/>
              </w:rPr>
            </w:pPr>
            <w:r>
              <w:rPr>
                <w:rFonts w:ascii="Times New Roman" w:hAnsi="Times New Roman" w:cs="Times New Roman"/>
              </w:rPr>
              <w:t>22</w:t>
            </w:r>
          </w:p>
        </w:tc>
        <w:tc>
          <w:tcPr>
            <w:tcW w:w="2586" w:type="dxa"/>
          </w:tcPr>
          <w:p w14:paraId="35F8D2D6" w14:textId="77777777" w:rsidR="008312AA" w:rsidRDefault="00000000">
            <w:pPr>
              <w:jc w:val="left"/>
              <w:rPr>
                <w:rFonts w:ascii="Times New Roman" w:hAnsi="Times New Roman" w:cs="Times New Roman"/>
              </w:rPr>
            </w:pPr>
            <w:r>
              <w:rPr>
                <w:rFonts w:ascii="Times New Roman" w:hAnsi="Times New Roman" w:cs="Times New Roman"/>
              </w:rPr>
              <w:t>Tihemetsa Kala OÜ</w:t>
            </w:r>
          </w:p>
        </w:tc>
        <w:tc>
          <w:tcPr>
            <w:tcW w:w="2745" w:type="dxa"/>
          </w:tcPr>
          <w:p w14:paraId="25BD3CB4"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7CE7A83" w14:textId="77777777" w:rsidR="008312AA" w:rsidRDefault="00000000">
            <w:pPr>
              <w:jc w:val="left"/>
              <w:rPr>
                <w:rFonts w:ascii="Times New Roman" w:hAnsi="Times New Roman" w:cs="Times New Roman"/>
              </w:rPr>
            </w:pPr>
            <w:r>
              <w:rPr>
                <w:rFonts w:ascii="Times New Roman" w:hAnsi="Times New Roman" w:cs="Times New Roman"/>
              </w:rPr>
              <w:t>Koosolek 11.02.2022, koosolek 19.05.2023</w:t>
            </w:r>
          </w:p>
        </w:tc>
      </w:tr>
      <w:tr w:rsidR="008312AA" w14:paraId="5BA1C944" w14:textId="77777777">
        <w:tc>
          <w:tcPr>
            <w:tcW w:w="762" w:type="dxa"/>
          </w:tcPr>
          <w:p w14:paraId="43DC72C6" w14:textId="77777777" w:rsidR="008312AA" w:rsidRDefault="00000000">
            <w:pPr>
              <w:jc w:val="left"/>
              <w:rPr>
                <w:rFonts w:ascii="Times New Roman" w:hAnsi="Times New Roman" w:cs="Times New Roman"/>
              </w:rPr>
            </w:pPr>
            <w:r>
              <w:rPr>
                <w:rFonts w:ascii="Times New Roman" w:hAnsi="Times New Roman" w:cs="Times New Roman"/>
              </w:rPr>
              <w:t>23</w:t>
            </w:r>
          </w:p>
        </w:tc>
        <w:tc>
          <w:tcPr>
            <w:tcW w:w="2586" w:type="dxa"/>
          </w:tcPr>
          <w:p w14:paraId="7B2BEC78" w14:textId="77777777" w:rsidR="008312AA" w:rsidRDefault="00000000">
            <w:pPr>
              <w:jc w:val="left"/>
              <w:rPr>
                <w:rFonts w:ascii="Times New Roman" w:hAnsi="Times New Roman" w:cs="Times New Roman"/>
              </w:rPr>
            </w:pPr>
            <w:r>
              <w:rPr>
                <w:rFonts w:ascii="Times New Roman" w:hAnsi="Times New Roman" w:cs="Times New Roman"/>
              </w:rPr>
              <w:t>FIE Aavo Lonks</w:t>
            </w:r>
          </w:p>
        </w:tc>
        <w:tc>
          <w:tcPr>
            <w:tcW w:w="2745" w:type="dxa"/>
          </w:tcPr>
          <w:p w14:paraId="5F1BAFED"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4390C83" w14:textId="77777777" w:rsidR="008312AA" w:rsidRDefault="00000000">
            <w:pPr>
              <w:jc w:val="left"/>
              <w:rPr>
                <w:rFonts w:ascii="Times New Roman" w:hAnsi="Times New Roman" w:cs="Times New Roman"/>
              </w:rPr>
            </w:pPr>
            <w:r>
              <w:rPr>
                <w:rFonts w:ascii="Times New Roman" w:hAnsi="Times New Roman" w:cs="Times New Roman"/>
              </w:rPr>
              <w:t>Koosolek 11.02.2022, koosolek 11.02.2022, koosolek 15.06.2023, koosolek 17.11.2023</w:t>
            </w:r>
          </w:p>
        </w:tc>
      </w:tr>
      <w:tr w:rsidR="008312AA" w14:paraId="73A9C885" w14:textId="77777777">
        <w:tc>
          <w:tcPr>
            <w:tcW w:w="762" w:type="dxa"/>
          </w:tcPr>
          <w:p w14:paraId="68B32113" w14:textId="77777777" w:rsidR="008312AA" w:rsidRDefault="00000000">
            <w:pPr>
              <w:jc w:val="left"/>
              <w:rPr>
                <w:rFonts w:ascii="Times New Roman" w:hAnsi="Times New Roman" w:cs="Times New Roman"/>
              </w:rPr>
            </w:pPr>
            <w:r>
              <w:rPr>
                <w:rFonts w:ascii="Times New Roman" w:hAnsi="Times New Roman" w:cs="Times New Roman"/>
              </w:rPr>
              <w:t>24</w:t>
            </w:r>
          </w:p>
        </w:tc>
        <w:tc>
          <w:tcPr>
            <w:tcW w:w="2586" w:type="dxa"/>
          </w:tcPr>
          <w:p w14:paraId="3B08BAE8" w14:textId="77777777" w:rsidR="008312AA" w:rsidRDefault="00000000">
            <w:pPr>
              <w:jc w:val="left"/>
              <w:rPr>
                <w:rFonts w:ascii="Times New Roman" w:hAnsi="Times New Roman" w:cs="Times New Roman"/>
              </w:rPr>
            </w:pPr>
            <w:r>
              <w:rPr>
                <w:rFonts w:ascii="Times New Roman" w:hAnsi="Times New Roman" w:cs="Times New Roman"/>
              </w:rPr>
              <w:t>MTÜ Saaremaa Merispordi Selts</w:t>
            </w:r>
          </w:p>
        </w:tc>
        <w:tc>
          <w:tcPr>
            <w:tcW w:w="2745" w:type="dxa"/>
          </w:tcPr>
          <w:p w14:paraId="58F72A6D"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1D2370C4" w14:textId="77777777" w:rsidR="008312AA" w:rsidRDefault="00000000">
            <w:pPr>
              <w:jc w:val="left"/>
              <w:rPr>
                <w:rFonts w:ascii="Times New Roman" w:hAnsi="Times New Roman" w:cs="Times New Roman"/>
              </w:rPr>
            </w:pPr>
            <w:r>
              <w:rPr>
                <w:rFonts w:ascii="Times New Roman" w:hAnsi="Times New Roman" w:cs="Times New Roman"/>
              </w:rPr>
              <w:t>Koosolek 11.02.2022, sisendi andmine 15.12. 2023</w:t>
            </w:r>
          </w:p>
        </w:tc>
      </w:tr>
      <w:tr w:rsidR="008312AA" w14:paraId="2BE95ACB" w14:textId="77777777">
        <w:tc>
          <w:tcPr>
            <w:tcW w:w="762" w:type="dxa"/>
          </w:tcPr>
          <w:p w14:paraId="537E94CB" w14:textId="77777777" w:rsidR="008312AA" w:rsidRDefault="00000000">
            <w:pPr>
              <w:jc w:val="left"/>
              <w:rPr>
                <w:rFonts w:ascii="Times New Roman" w:hAnsi="Times New Roman" w:cs="Times New Roman"/>
              </w:rPr>
            </w:pPr>
            <w:r>
              <w:rPr>
                <w:rFonts w:ascii="Times New Roman" w:hAnsi="Times New Roman" w:cs="Times New Roman"/>
              </w:rPr>
              <w:t>25</w:t>
            </w:r>
          </w:p>
        </w:tc>
        <w:tc>
          <w:tcPr>
            <w:tcW w:w="2586" w:type="dxa"/>
          </w:tcPr>
          <w:p w14:paraId="3A1F20F7" w14:textId="77777777" w:rsidR="008312AA" w:rsidRDefault="00000000">
            <w:pPr>
              <w:jc w:val="left"/>
              <w:rPr>
                <w:rFonts w:ascii="Times New Roman" w:hAnsi="Times New Roman" w:cs="Times New Roman"/>
              </w:rPr>
            </w:pPr>
            <w:r>
              <w:rPr>
                <w:rFonts w:ascii="Times New Roman" w:hAnsi="Times New Roman" w:cs="Times New Roman"/>
              </w:rPr>
              <w:t>FIE Riho Mägi</w:t>
            </w:r>
          </w:p>
        </w:tc>
        <w:tc>
          <w:tcPr>
            <w:tcW w:w="2745" w:type="dxa"/>
          </w:tcPr>
          <w:p w14:paraId="574068D0"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D01DF88"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5C046CAE" w14:textId="77777777">
        <w:tc>
          <w:tcPr>
            <w:tcW w:w="762" w:type="dxa"/>
          </w:tcPr>
          <w:p w14:paraId="324CF749" w14:textId="77777777" w:rsidR="008312AA" w:rsidRDefault="00000000">
            <w:pPr>
              <w:jc w:val="left"/>
              <w:rPr>
                <w:rFonts w:ascii="Times New Roman" w:hAnsi="Times New Roman" w:cs="Times New Roman"/>
              </w:rPr>
            </w:pPr>
            <w:r>
              <w:rPr>
                <w:rFonts w:ascii="Times New Roman" w:hAnsi="Times New Roman" w:cs="Times New Roman"/>
              </w:rPr>
              <w:t>26</w:t>
            </w:r>
          </w:p>
        </w:tc>
        <w:tc>
          <w:tcPr>
            <w:tcW w:w="2586" w:type="dxa"/>
          </w:tcPr>
          <w:p w14:paraId="4DB787AE" w14:textId="77777777" w:rsidR="008312AA" w:rsidRDefault="00000000">
            <w:pPr>
              <w:jc w:val="left"/>
              <w:rPr>
                <w:rFonts w:ascii="Times New Roman" w:hAnsi="Times New Roman" w:cs="Times New Roman"/>
              </w:rPr>
            </w:pPr>
            <w:r>
              <w:rPr>
                <w:rFonts w:ascii="Times New Roman" w:hAnsi="Times New Roman" w:cs="Times New Roman"/>
              </w:rPr>
              <w:t>FIE Vello Salong</w:t>
            </w:r>
          </w:p>
        </w:tc>
        <w:tc>
          <w:tcPr>
            <w:tcW w:w="2745" w:type="dxa"/>
          </w:tcPr>
          <w:p w14:paraId="14DD0816"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7E8C00B7" w14:textId="77777777" w:rsidR="008312AA" w:rsidRDefault="00000000">
            <w:pPr>
              <w:jc w:val="left"/>
              <w:rPr>
                <w:rFonts w:ascii="Times New Roman" w:hAnsi="Times New Roman" w:cs="Times New Roman"/>
              </w:rPr>
            </w:pPr>
            <w:r>
              <w:rPr>
                <w:rFonts w:ascii="Times New Roman" w:hAnsi="Times New Roman" w:cs="Times New Roman"/>
              </w:rPr>
              <w:t>Koosolek 11.02.2022, koosolek 11.02.2022, koosolek 15 06.2023</w:t>
            </w:r>
          </w:p>
        </w:tc>
      </w:tr>
      <w:tr w:rsidR="008312AA" w14:paraId="21D7EE63" w14:textId="77777777">
        <w:tc>
          <w:tcPr>
            <w:tcW w:w="762" w:type="dxa"/>
          </w:tcPr>
          <w:p w14:paraId="30CA4752" w14:textId="77777777" w:rsidR="008312AA" w:rsidRDefault="00000000">
            <w:pPr>
              <w:jc w:val="left"/>
              <w:rPr>
                <w:rFonts w:ascii="Times New Roman" w:hAnsi="Times New Roman" w:cs="Times New Roman"/>
              </w:rPr>
            </w:pPr>
            <w:r>
              <w:rPr>
                <w:rFonts w:ascii="Times New Roman" w:hAnsi="Times New Roman" w:cs="Times New Roman"/>
              </w:rPr>
              <w:t>27</w:t>
            </w:r>
          </w:p>
        </w:tc>
        <w:tc>
          <w:tcPr>
            <w:tcW w:w="2586" w:type="dxa"/>
          </w:tcPr>
          <w:p w14:paraId="5B1EF525" w14:textId="77777777" w:rsidR="008312AA" w:rsidRDefault="00000000">
            <w:pPr>
              <w:jc w:val="left"/>
              <w:rPr>
                <w:rFonts w:ascii="Times New Roman" w:hAnsi="Times New Roman" w:cs="Times New Roman"/>
              </w:rPr>
            </w:pPr>
            <w:r>
              <w:rPr>
                <w:rFonts w:ascii="Times New Roman" w:hAnsi="Times New Roman" w:cs="Times New Roman"/>
              </w:rPr>
              <w:t xml:space="preserve">MTÜ </w:t>
            </w:r>
            <w:proofErr w:type="spellStart"/>
            <w:r>
              <w:rPr>
                <w:rFonts w:ascii="Times New Roman" w:hAnsi="Times New Roman" w:cs="Times New Roman"/>
              </w:rPr>
              <w:t>Kaunispe</w:t>
            </w:r>
            <w:proofErr w:type="spellEnd"/>
            <w:r>
              <w:rPr>
                <w:rFonts w:ascii="Times New Roman" w:hAnsi="Times New Roman" w:cs="Times New Roman"/>
              </w:rPr>
              <w:t xml:space="preserve"> Sadam</w:t>
            </w:r>
          </w:p>
        </w:tc>
        <w:tc>
          <w:tcPr>
            <w:tcW w:w="2745" w:type="dxa"/>
          </w:tcPr>
          <w:p w14:paraId="4DAF7CE9"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057C2C5"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00A831FC" w14:textId="77777777">
        <w:tc>
          <w:tcPr>
            <w:tcW w:w="762" w:type="dxa"/>
          </w:tcPr>
          <w:p w14:paraId="73E1183D" w14:textId="77777777" w:rsidR="008312AA" w:rsidRDefault="00000000">
            <w:pPr>
              <w:jc w:val="left"/>
              <w:rPr>
                <w:rFonts w:ascii="Times New Roman" w:hAnsi="Times New Roman" w:cs="Times New Roman"/>
              </w:rPr>
            </w:pPr>
            <w:r>
              <w:rPr>
                <w:rFonts w:ascii="Times New Roman" w:hAnsi="Times New Roman" w:cs="Times New Roman"/>
              </w:rPr>
              <w:t>28</w:t>
            </w:r>
          </w:p>
        </w:tc>
        <w:tc>
          <w:tcPr>
            <w:tcW w:w="2586" w:type="dxa"/>
          </w:tcPr>
          <w:p w14:paraId="1D6BD8EB" w14:textId="77777777" w:rsidR="008312AA" w:rsidRDefault="00000000">
            <w:pPr>
              <w:jc w:val="left"/>
              <w:rPr>
                <w:rFonts w:ascii="Times New Roman" w:hAnsi="Times New Roman" w:cs="Times New Roman"/>
              </w:rPr>
            </w:pPr>
            <w:r>
              <w:rPr>
                <w:rFonts w:ascii="Times New Roman" w:hAnsi="Times New Roman" w:cs="Times New Roman"/>
              </w:rPr>
              <w:t>TTÜ Kuressaare Kolledž</w:t>
            </w:r>
          </w:p>
        </w:tc>
        <w:tc>
          <w:tcPr>
            <w:tcW w:w="2745" w:type="dxa"/>
          </w:tcPr>
          <w:p w14:paraId="4D6D737B" w14:textId="77777777" w:rsidR="008312AA" w:rsidRDefault="00000000">
            <w:pPr>
              <w:jc w:val="left"/>
              <w:rPr>
                <w:rFonts w:ascii="Times New Roman" w:hAnsi="Times New Roman" w:cs="Times New Roman"/>
              </w:rPr>
            </w:pPr>
            <w:r>
              <w:rPr>
                <w:rFonts w:ascii="Times New Roman" w:hAnsi="Times New Roman" w:cs="Times New Roman"/>
              </w:rPr>
              <w:t>Avalik- õiguslik</w:t>
            </w:r>
          </w:p>
        </w:tc>
        <w:tc>
          <w:tcPr>
            <w:tcW w:w="2968" w:type="dxa"/>
          </w:tcPr>
          <w:p w14:paraId="7AF413CA"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293855C7" w14:textId="77777777">
        <w:tc>
          <w:tcPr>
            <w:tcW w:w="762" w:type="dxa"/>
          </w:tcPr>
          <w:p w14:paraId="4F923EED" w14:textId="77777777" w:rsidR="008312AA" w:rsidRDefault="00000000">
            <w:pPr>
              <w:jc w:val="left"/>
              <w:rPr>
                <w:rFonts w:ascii="Times New Roman" w:hAnsi="Times New Roman" w:cs="Times New Roman"/>
              </w:rPr>
            </w:pPr>
            <w:r>
              <w:rPr>
                <w:rFonts w:ascii="Times New Roman" w:hAnsi="Times New Roman" w:cs="Times New Roman"/>
              </w:rPr>
              <w:t>29</w:t>
            </w:r>
          </w:p>
        </w:tc>
        <w:tc>
          <w:tcPr>
            <w:tcW w:w="2586" w:type="dxa"/>
          </w:tcPr>
          <w:p w14:paraId="3884F4A6" w14:textId="77777777" w:rsidR="008312AA" w:rsidRDefault="00000000">
            <w:pPr>
              <w:jc w:val="left"/>
              <w:rPr>
                <w:rFonts w:ascii="Times New Roman" w:hAnsi="Times New Roman" w:cs="Times New Roman"/>
              </w:rPr>
            </w:pPr>
            <w:r>
              <w:rPr>
                <w:rFonts w:ascii="Times New Roman" w:hAnsi="Times New Roman" w:cs="Times New Roman"/>
              </w:rPr>
              <w:t>ELKA OÜ</w:t>
            </w:r>
          </w:p>
        </w:tc>
        <w:tc>
          <w:tcPr>
            <w:tcW w:w="2745" w:type="dxa"/>
          </w:tcPr>
          <w:p w14:paraId="5FAA4E7B"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391BE25" w14:textId="77777777" w:rsidR="008312AA" w:rsidRDefault="00000000">
            <w:pPr>
              <w:jc w:val="left"/>
              <w:rPr>
                <w:rFonts w:ascii="Times New Roman" w:hAnsi="Times New Roman" w:cs="Times New Roman"/>
              </w:rPr>
            </w:pPr>
            <w:r>
              <w:rPr>
                <w:rFonts w:ascii="Times New Roman" w:hAnsi="Times New Roman" w:cs="Times New Roman"/>
              </w:rPr>
              <w:t>Koosolek 11.02.2022, koosolek 19.05.2023</w:t>
            </w:r>
          </w:p>
        </w:tc>
      </w:tr>
      <w:tr w:rsidR="008312AA" w14:paraId="5A37F84B" w14:textId="77777777">
        <w:tc>
          <w:tcPr>
            <w:tcW w:w="762" w:type="dxa"/>
          </w:tcPr>
          <w:p w14:paraId="713F7FF1" w14:textId="77777777" w:rsidR="008312AA" w:rsidRDefault="00000000">
            <w:pPr>
              <w:jc w:val="left"/>
              <w:rPr>
                <w:rFonts w:ascii="Times New Roman" w:hAnsi="Times New Roman" w:cs="Times New Roman"/>
              </w:rPr>
            </w:pPr>
            <w:r>
              <w:rPr>
                <w:rFonts w:ascii="Times New Roman" w:hAnsi="Times New Roman" w:cs="Times New Roman"/>
              </w:rPr>
              <w:t>30</w:t>
            </w:r>
          </w:p>
        </w:tc>
        <w:tc>
          <w:tcPr>
            <w:tcW w:w="2586" w:type="dxa"/>
          </w:tcPr>
          <w:p w14:paraId="2C1C39C9" w14:textId="77777777" w:rsidR="008312AA" w:rsidRDefault="00000000">
            <w:pPr>
              <w:jc w:val="left"/>
              <w:rPr>
                <w:rFonts w:ascii="Times New Roman" w:hAnsi="Times New Roman" w:cs="Times New Roman"/>
              </w:rPr>
            </w:pPr>
            <w:proofErr w:type="spellStart"/>
            <w:r>
              <w:rPr>
                <w:rFonts w:ascii="Times New Roman" w:hAnsi="Times New Roman" w:cs="Times New Roman"/>
              </w:rPr>
              <w:t>Sarman</w:t>
            </w:r>
            <w:proofErr w:type="spellEnd"/>
            <w:r>
              <w:rPr>
                <w:rFonts w:ascii="Times New Roman" w:hAnsi="Times New Roman" w:cs="Times New Roman"/>
              </w:rPr>
              <w:t xml:space="preserve"> OÜ</w:t>
            </w:r>
          </w:p>
        </w:tc>
        <w:tc>
          <w:tcPr>
            <w:tcW w:w="2745" w:type="dxa"/>
          </w:tcPr>
          <w:p w14:paraId="51E1A9F6"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9422951"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20EB3474" w14:textId="77777777">
        <w:tc>
          <w:tcPr>
            <w:tcW w:w="762" w:type="dxa"/>
          </w:tcPr>
          <w:p w14:paraId="303D365B" w14:textId="77777777" w:rsidR="008312AA" w:rsidRDefault="00000000">
            <w:pPr>
              <w:jc w:val="left"/>
              <w:rPr>
                <w:rFonts w:ascii="Times New Roman" w:hAnsi="Times New Roman" w:cs="Times New Roman"/>
              </w:rPr>
            </w:pPr>
            <w:r>
              <w:rPr>
                <w:rFonts w:ascii="Times New Roman" w:hAnsi="Times New Roman" w:cs="Times New Roman"/>
              </w:rPr>
              <w:t>31</w:t>
            </w:r>
          </w:p>
        </w:tc>
        <w:tc>
          <w:tcPr>
            <w:tcW w:w="2586" w:type="dxa"/>
          </w:tcPr>
          <w:p w14:paraId="375B041F" w14:textId="77777777" w:rsidR="008312AA" w:rsidRDefault="00000000">
            <w:pPr>
              <w:jc w:val="left"/>
              <w:rPr>
                <w:rFonts w:ascii="Times New Roman" w:hAnsi="Times New Roman" w:cs="Times New Roman"/>
              </w:rPr>
            </w:pPr>
            <w:proofErr w:type="spellStart"/>
            <w:r>
              <w:rPr>
                <w:rFonts w:ascii="Times New Roman" w:hAnsi="Times New Roman" w:cs="Times New Roman"/>
              </w:rPr>
              <w:t>Ösel</w:t>
            </w:r>
            <w:proofErr w:type="spellEnd"/>
            <w:r>
              <w:rPr>
                <w:rFonts w:ascii="Times New Roman" w:hAnsi="Times New Roman" w:cs="Times New Roman"/>
              </w:rPr>
              <w:t xml:space="preserve"> Fish OÜ</w:t>
            </w:r>
          </w:p>
        </w:tc>
        <w:tc>
          <w:tcPr>
            <w:tcW w:w="2745" w:type="dxa"/>
          </w:tcPr>
          <w:p w14:paraId="39B9E28B"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B34BAB3"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3F3AB051" w14:textId="77777777">
        <w:tc>
          <w:tcPr>
            <w:tcW w:w="762" w:type="dxa"/>
          </w:tcPr>
          <w:p w14:paraId="7A480E4B" w14:textId="77777777" w:rsidR="008312AA" w:rsidRDefault="00000000">
            <w:pPr>
              <w:jc w:val="left"/>
              <w:rPr>
                <w:rFonts w:ascii="Times New Roman" w:hAnsi="Times New Roman" w:cs="Times New Roman"/>
              </w:rPr>
            </w:pPr>
            <w:r>
              <w:rPr>
                <w:rFonts w:ascii="Times New Roman" w:hAnsi="Times New Roman" w:cs="Times New Roman"/>
              </w:rPr>
              <w:t>32</w:t>
            </w:r>
          </w:p>
        </w:tc>
        <w:tc>
          <w:tcPr>
            <w:tcW w:w="2586" w:type="dxa"/>
          </w:tcPr>
          <w:p w14:paraId="39595061" w14:textId="77777777" w:rsidR="008312AA" w:rsidRDefault="00000000">
            <w:pPr>
              <w:jc w:val="left"/>
              <w:rPr>
                <w:rFonts w:ascii="Times New Roman" w:hAnsi="Times New Roman" w:cs="Times New Roman"/>
              </w:rPr>
            </w:pPr>
            <w:r>
              <w:rPr>
                <w:rFonts w:ascii="Times New Roman" w:hAnsi="Times New Roman" w:cs="Times New Roman"/>
              </w:rPr>
              <w:t>Goldfish OÜ</w:t>
            </w:r>
          </w:p>
        </w:tc>
        <w:tc>
          <w:tcPr>
            <w:tcW w:w="2745" w:type="dxa"/>
          </w:tcPr>
          <w:p w14:paraId="326D59E7"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81EC365"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7CE0939F" w14:textId="77777777">
        <w:tc>
          <w:tcPr>
            <w:tcW w:w="762" w:type="dxa"/>
          </w:tcPr>
          <w:p w14:paraId="498AD6DC" w14:textId="77777777" w:rsidR="008312AA" w:rsidRDefault="00000000">
            <w:pPr>
              <w:jc w:val="left"/>
              <w:rPr>
                <w:rFonts w:ascii="Times New Roman" w:hAnsi="Times New Roman" w:cs="Times New Roman"/>
              </w:rPr>
            </w:pPr>
            <w:r>
              <w:rPr>
                <w:rFonts w:ascii="Times New Roman" w:hAnsi="Times New Roman" w:cs="Times New Roman"/>
              </w:rPr>
              <w:t>33</w:t>
            </w:r>
          </w:p>
        </w:tc>
        <w:tc>
          <w:tcPr>
            <w:tcW w:w="2586" w:type="dxa"/>
          </w:tcPr>
          <w:p w14:paraId="6E61A20A" w14:textId="77777777" w:rsidR="008312AA" w:rsidRDefault="00000000">
            <w:pPr>
              <w:jc w:val="left"/>
              <w:rPr>
                <w:rFonts w:ascii="Times New Roman" w:hAnsi="Times New Roman" w:cs="Times New Roman"/>
              </w:rPr>
            </w:pPr>
            <w:r>
              <w:rPr>
                <w:rFonts w:ascii="Times New Roman" w:hAnsi="Times New Roman" w:cs="Times New Roman"/>
              </w:rPr>
              <w:t>Gold Grupp OÜ</w:t>
            </w:r>
          </w:p>
        </w:tc>
        <w:tc>
          <w:tcPr>
            <w:tcW w:w="2745" w:type="dxa"/>
          </w:tcPr>
          <w:p w14:paraId="32925DF5" w14:textId="77777777" w:rsidR="008312AA" w:rsidRDefault="008312AA">
            <w:pPr>
              <w:jc w:val="left"/>
              <w:rPr>
                <w:rFonts w:ascii="Times New Roman" w:hAnsi="Times New Roman" w:cs="Times New Roman"/>
              </w:rPr>
            </w:pPr>
          </w:p>
        </w:tc>
        <w:tc>
          <w:tcPr>
            <w:tcW w:w="2968" w:type="dxa"/>
          </w:tcPr>
          <w:p w14:paraId="342B5174"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747E8D3D" w14:textId="77777777">
        <w:tc>
          <w:tcPr>
            <w:tcW w:w="762" w:type="dxa"/>
          </w:tcPr>
          <w:p w14:paraId="4E8C3BB6" w14:textId="77777777" w:rsidR="008312AA" w:rsidRDefault="00000000">
            <w:pPr>
              <w:jc w:val="left"/>
              <w:rPr>
                <w:rFonts w:ascii="Times New Roman" w:hAnsi="Times New Roman" w:cs="Times New Roman"/>
              </w:rPr>
            </w:pPr>
            <w:r>
              <w:rPr>
                <w:rFonts w:ascii="Times New Roman" w:hAnsi="Times New Roman" w:cs="Times New Roman"/>
              </w:rPr>
              <w:t>34</w:t>
            </w:r>
          </w:p>
        </w:tc>
        <w:tc>
          <w:tcPr>
            <w:tcW w:w="2586" w:type="dxa"/>
          </w:tcPr>
          <w:p w14:paraId="74DBA62E" w14:textId="77777777" w:rsidR="008312AA" w:rsidRDefault="00000000">
            <w:pPr>
              <w:jc w:val="left"/>
              <w:rPr>
                <w:rFonts w:ascii="Times New Roman" w:hAnsi="Times New Roman" w:cs="Times New Roman"/>
              </w:rPr>
            </w:pPr>
            <w:r>
              <w:rPr>
                <w:rFonts w:ascii="Times New Roman" w:hAnsi="Times New Roman" w:cs="Times New Roman"/>
              </w:rPr>
              <w:t>AS Veere Sadam</w:t>
            </w:r>
          </w:p>
        </w:tc>
        <w:tc>
          <w:tcPr>
            <w:tcW w:w="2745" w:type="dxa"/>
          </w:tcPr>
          <w:p w14:paraId="29833696"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29D1E658"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0EB5FA0A" w14:textId="77777777">
        <w:tc>
          <w:tcPr>
            <w:tcW w:w="762" w:type="dxa"/>
          </w:tcPr>
          <w:p w14:paraId="35FD641B" w14:textId="77777777" w:rsidR="008312AA" w:rsidRDefault="00000000">
            <w:pPr>
              <w:jc w:val="left"/>
              <w:rPr>
                <w:rFonts w:ascii="Times New Roman" w:hAnsi="Times New Roman" w:cs="Times New Roman"/>
              </w:rPr>
            </w:pPr>
            <w:r>
              <w:rPr>
                <w:rFonts w:ascii="Times New Roman" w:hAnsi="Times New Roman" w:cs="Times New Roman"/>
              </w:rPr>
              <w:t>35</w:t>
            </w:r>
          </w:p>
        </w:tc>
        <w:tc>
          <w:tcPr>
            <w:tcW w:w="2586" w:type="dxa"/>
          </w:tcPr>
          <w:p w14:paraId="54F63EE4" w14:textId="77777777" w:rsidR="008312AA" w:rsidRDefault="00000000">
            <w:pPr>
              <w:jc w:val="left"/>
              <w:rPr>
                <w:rFonts w:ascii="Times New Roman" w:hAnsi="Times New Roman" w:cs="Times New Roman"/>
              </w:rPr>
            </w:pPr>
            <w:r>
              <w:rPr>
                <w:rFonts w:ascii="Times New Roman" w:hAnsi="Times New Roman" w:cs="Times New Roman"/>
              </w:rPr>
              <w:t>Pähkla Vähi- ja Kalakasvatus OÜ</w:t>
            </w:r>
          </w:p>
        </w:tc>
        <w:tc>
          <w:tcPr>
            <w:tcW w:w="2745" w:type="dxa"/>
          </w:tcPr>
          <w:p w14:paraId="05D79DED"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3BD2528F"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6BA8CB8A" w14:textId="77777777">
        <w:tc>
          <w:tcPr>
            <w:tcW w:w="762" w:type="dxa"/>
          </w:tcPr>
          <w:p w14:paraId="76460D0C" w14:textId="77777777" w:rsidR="008312AA" w:rsidRDefault="00000000">
            <w:pPr>
              <w:jc w:val="left"/>
              <w:rPr>
                <w:rFonts w:ascii="Times New Roman" w:hAnsi="Times New Roman" w:cs="Times New Roman"/>
              </w:rPr>
            </w:pPr>
            <w:r>
              <w:rPr>
                <w:rFonts w:ascii="Times New Roman" w:hAnsi="Times New Roman" w:cs="Times New Roman"/>
              </w:rPr>
              <w:t>36</w:t>
            </w:r>
          </w:p>
        </w:tc>
        <w:tc>
          <w:tcPr>
            <w:tcW w:w="2586" w:type="dxa"/>
          </w:tcPr>
          <w:p w14:paraId="786F8722" w14:textId="77777777" w:rsidR="008312AA" w:rsidRDefault="00000000">
            <w:pPr>
              <w:jc w:val="left"/>
              <w:rPr>
                <w:rFonts w:ascii="Times New Roman" w:hAnsi="Times New Roman" w:cs="Times New Roman"/>
              </w:rPr>
            </w:pPr>
            <w:r>
              <w:rPr>
                <w:rFonts w:ascii="Times New Roman" w:hAnsi="Times New Roman" w:cs="Times New Roman"/>
              </w:rPr>
              <w:t>FIE Merika Laid</w:t>
            </w:r>
          </w:p>
        </w:tc>
        <w:tc>
          <w:tcPr>
            <w:tcW w:w="2745" w:type="dxa"/>
          </w:tcPr>
          <w:p w14:paraId="69A01444"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3D366AB7" w14:textId="77777777" w:rsidR="008312AA" w:rsidRDefault="00000000">
            <w:pPr>
              <w:jc w:val="left"/>
              <w:rPr>
                <w:rFonts w:ascii="Times New Roman" w:hAnsi="Times New Roman" w:cs="Times New Roman"/>
              </w:rPr>
            </w:pPr>
            <w:r>
              <w:rPr>
                <w:rFonts w:ascii="Times New Roman" w:hAnsi="Times New Roman" w:cs="Times New Roman"/>
              </w:rPr>
              <w:t>Koosolek 06. 04. 2022, koosolek 17.11.2023</w:t>
            </w:r>
          </w:p>
        </w:tc>
      </w:tr>
      <w:tr w:rsidR="008312AA" w14:paraId="21EF2E1A" w14:textId="77777777">
        <w:tc>
          <w:tcPr>
            <w:tcW w:w="762" w:type="dxa"/>
          </w:tcPr>
          <w:p w14:paraId="45955DE6" w14:textId="77777777" w:rsidR="008312AA" w:rsidRDefault="00000000">
            <w:pPr>
              <w:jc w:val="left"/>
              <w:rPr>
                <w:rFonts w:ascii="Times New Roman" w:hAnsi="Times New Roman" w:cs="Times New Roman"/>
              </w:rPr>
            </w:pPr>
            <w:r>
              <w:rPr>
                <w:rFonts w:ascii="Times New Roman" w:hAnsi="Times New Roman" w:cs="Times New Roman"/>
              </w:rPr>
              <w:t>37</w:t>
            </w:r>
          </w:p>
        </w:tc>
        <w:tc>
          <w:tcPr>
            <w:tcW w:w="2586" w:type="dxa"/>
          </w:tcPr>
          <w:p w14:paraId="0E4028A2" w14:textId="77777777" w:rsidR="008312AA" w:rsidRDefault="00000000">
            <w:pPr>
              <w:jc w:val="left"/>
              <w:rPr>
                <w:rFonts w:ascii="Times New Roman" w:hAnsi="Times New Roman" w:cs="Times New Roman"/>
              </w:rPr>
            </w:pPr>
            <w:r>
              <w:rPr>
                <w:rFonts w:ascii="Times New Roman" w:hAnsi="Times New Roman" w:cs="Times New Roman"/>
              </w:rPr>
              <w:t xml:space="preserve">FIE Tambet </w:t>
            </w:r>
            <w:proofErr w:type="spellStart"/>
            <w:r>
              <w:rPr>
                <w:rFonts w:ascii="Times New Roman" w:hAnsi="Times New Roman" w:cs="Times New Roman"/>
              </w:rPr>
              <w:t>Oll</w:t>
            </w:r>
            <w:proofErr w:type="spellEnd"/>
          </w:p>
        </w:tc>
        <w:tc>
          <w:tcPr>
            <w:tcW w:w="2745" w:type="dxa"/>
          </w:tcPr>
          <w:p w14:paraId="4E638DCA"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5C436E66"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77B30366" w14:textId="77777777">
        <w:tc>
          <w:tcPr>
            <w:tcW w:w="762" w:type="dxa"/>
          </w:tcPr>
          <w:p w14:paraId="6FC85643" w14:textId="77777777" w:rsidR="008312AA" w:rsidRDefault="00000000">
            <w:pPr>
              <w:jc w:val="left"/>
              <w:rPr>
                <w:rFonts w:ascii="Times New Roman" w:hAnsi="Times New Roman" w:cs="Times New Roman"/>
              </w:rPr>
            </w:pPr>
            <w:r>
              <w:rPr>
                <w:rFonts w:ascii="Times New Roman" w:hAnsi="Times New Roman" w:cs="Times New Roman"/>
              </w:rPr>
              <w:t>38</w:t>
            </w:r>
          </w:p>
        </w:tc>
        <w:tc>
          <w:tcPr>
            <w:tcW w:w="2586" w:type="dxa"/>
          </w:tcPr>
          <w:p w14:paraId="73A238BB" w14:textId="77777777" w:rsidR="008312AA" w:rsidRDefault="00000000">
            <w:pPr>
              <w:jc w:val="left"/>
              <w:rPr>
                <w:rFonts w:ascii="Times New Roman" w:hAnsi="Times New Roman" w:cs="Times New Roman"/>
              </w:rPr>
            </w:pPr>
            <w:r>
              <w:rPr>
                <w:rFonts w:ascii="Times New Roman" w:hAnsi="Times New Roman" w:cs="Times New Roman"/>
              </w:rPr>
              <w:t>Nasva Rahvamaja</w:t>
            </w:r>
          </w:p>
        </w:tc>
        <w:tc>
          <w:tcPr>
            <w:tcW w:w="2745" w:type="dxa"/>
          </w:tcPr>
          <w:p w14:paraId="31674975" w14:textId="77777777" w:rsidR="008312AA" w:rsidRDefault="00000000">
            <w:pPr>
              <w:jc w:val="left"/>
              <w:rPr>
                <w:rFonts w:ascii="Times New Roman" w:hAnsi="Times New Roman" w:cs="Times New Roman"/>
              </w:rPr>
            </w:pPr>
            <w:r>
              <w:rPr>
                <w:rFonts w:ascii="Times New Roman" w:hAnsi="Times New Roman" w:cs="Times New Roman"/>
              </w:rPr>
              <w:t>KOV hallatav</w:t>
            </w:r>
          </w:p>
        </w:tc>
        <w:tc>
          <w:tcPr>
            <w:tcW w:w="2968" w:type="dxa"/>
          </w:tcPr>
          <w:p w14:paraId="6279DA27" w14:textId="77777777" w:rsidR="008312AA" w:rsidRDefault="00000000">
            <w:pPr>
              <w:jc w:val="left"/>
              <w:rPr>
                <w:rFonts w:ascii="Times New Roman" w:hAnsi="Times New Roman" w:cs="Times New Roman"/>
              </w:rPr>
            </w:pPr>
            <w:r>
              <w:rPr>
                <w:rFonts w:ascii="Times New Roman" w:hAnsi="Times New Roman" w:cs="Times New Roman"/>
              </w:rPr>
              <w:t>Koosolek 19.05.2023</w:t>
            </w:r>
          </w:p>
        </w:tc>
      </w:tr>
      <w:tr w:rsidR="008312AA" w14:paraId="0B7254DC" w14:textId="77777777">
        <w:tc>
          <w:tcPr>
            <w:tcW w:w="762" w:type="dxa"/>
          </w:tcPr>
          <w:p w14:paraId="29965C36" w14:textId="77777777" w:rsidR="008312AA" w:rsidRDefault="00000000">
            <w:pPr>
              <w:jc w:val="left"/>
              <w:rPr>
                <w:rFonts w:ascii="Times New Roman" w:hAnsi="Times New Roman" w:cs="Times New Roman"/>
              </w:rPr>
            </w:pPr>
            <w:r>
              <w:rPr>
                <w:rFonts w:ascii="Times New Roman" w:hAnsi="Times New Roman" w:cs="Times New Roman"/>
              </w:rPr>
              <w:t>39</w:t>
            </w:r>
          </w:p>
        </w:tc>
        <w:tc>
          <w:tcPr>
            <w:tcW w:w="2586" w:type="dxa"/>
          </w:tcPr>
          <w:p w14:paraId="085C5CB6" w14:textId="77777777" w:rsidR="008312AA" w:rsidRDefault="00000000">
            <w:pPr>
              <w:jc w:val="left"/>
              <w:rPr>
                <w:rFonts w:ascii="Times New Roman" w:hAnsi="Times New Roman" w:cs="Times New Roman"/>
              </w:rPr>
            </w:pPr>
            <w:r>
              <w:rPr>
                <w:rFonts w:ascii="Times New Roman" w:hAnsi="Times New Roman" w:cs="Times New Roman"/>
              </w:rPr>
              <w:t>TÜ Pärnu Kolledž</w:t>
            </w:r>
          </w:p>
        </w:tc>
        <w:tc>
          <w:tcPr>
            <w:tcW w:w="2745" w:type="dxa"/>
          </w:tcPr>
          <w:p w14:paraId="5A5D6478" w14:textId="77777777" w:rsidR="008312AA" w:rsidRDefault="00000000">
            <w:pPr>
              <w:jc w:val="left"/>
              <w:rPr>
                <w:rFonts w:ascii="Times New Roman" w:hAnsi="Times New Roman" w:cs="Times New Roman"/>
              </w:rPr>
            </w:pPr>
            <w:r>
              <w:rPr>
                <w:rFonts w:ascii="Times New Roman" w:hAnsi="Times New Roman" w:cs="Times New Roman"/>
              </w:rPr>
              <w:t>Avalik- õiguslik</w:t>
            </w:r>
          </w:p>
        </w:tc>
        <w:tc>
          <w:tcPr>
            <w:tcW w:w="2968" w:type="dxa"/>
          </w:tcPr>
          <w:p w14:paraId="4BE42BD4"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54084907" w14:textId="77777777">
        <w:tc>
          <w:tcPr>
            <w:tcW w:w="762" w:type="dxa"/>
          </w:tcPr>
          <w:p w14:paraId="3C2E4487" w14:textId="77777777" w:rsidR="008312AA" w:rsidRDefault="00000000">
            <w:pPr>
              <w:jc w:val="left"/>
              <w:rPr>
                <w:rFonts w:ascii="Times New Roman" w:hAnsi="Times New Roman" w:cs="Times New Roman"/>
              </w:rPr>
            </w:pPr>
            <w:r>
              <w:rPr>
                <w:rFonts w:ascii="Times New Roman" w:hAnsi="Times New Roman" w:cs="Times New Roman"/>
              </w:rPr>
              <w:lastRenderedPageBreak/>
              <w:t>40</w:t>
            </w:r>
          </w:p>
        </w:tc>
        <w:tc>
          <w:tcPr>
            <w:tcW w:w="2586" w:type="dxa"/>
          </w:tcPr>
          <w:p w14:paraId="5607C941" w14:textId="77777777" w:rsidR="008312AA" w:rsidRDefault="00000000">
            <w:pPr>
              <w:jc w:val="left"/>
              <w:rPr>
                <w:rFonts w:ascii="Times New Roman" w:hAnsi="Times New Roman" w:cs="Times New Roman"/>
              </w:rPr>
            </w:pPr>
            <w:r>
              <w:rPr>
                <w:rFonts w:ascii="Times New Roman" w:hAnsi="Times New Roman" w:cs="Times New Roman"/>
              </w:rPr>
              <w:t>MKPAADIELEKTER OÜ</w:t>
            </w:r>
          </w:p>
        </w:tc>
        <w:tc>
          <w:tcPr>
            <w:tcW w:w="2745" w:type="dxa"/>
          </w:tcPr>
          <w:p w14:paraId="03C0B721"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133E31C7" w14:textId="77777777" w:rsidR="008312AA" w:rsidRDefault="00000000">
            <w:pPr>
              <w:jc w:val="left"/>
              <w:rPr>
                <w:rFonts w:ascii="Times New Roman" w:hAnsi="Times New Roman" w:cs="Times New Roman"/>
              </w:rPr>
            </w:pPr>
            <w:r>
              <w:rPr>
                <w:rFonts w:ascii="Times New Roman" w:hAnsi="Times New Roman" w:cs="Times New Roman"/>
              </w:rPr>
              <w:t>Koosolek 11.02.2022, koosolek 15.06.2023, koosolek 17.11.2023</w:t>
            </w:r>
          </w:p>
        </w:tc>
      </w:tr>
      <w:tr w:rsidR="008312AA" w14:paraId="48D1478C" w14:textId="77777777">
        <w:tc>
          <w:tcPr>
            <w:tcW w:w="762" w:type="dxa"/>
          </w:tcPr>
          <w:p w14:paraId="5CE6720D" w14:textId="77777777" w:rsidR="008312AA" w:rsidRDefault="00000000">
            <w:pPr>
              <w:jc w:val="left"/>
              <w:rPr>
                <w:rFonts w:ascii="Times New Roman" w:hAnsi="Times New Roman" w:cs="Times New Roman"/>
              </w:rPr>
            </w:pPr>
            <w:r>
              <w:rPr>
                <w:rFonts w:ascii="Times New Roman" w:hAnsi="Times New Roman" w:cs="Times New Roman"/>
              </w:rPr>
              <w:t>41</w:t>
            </w:r>
          </w:p>
        </w:tc>
        <w:tc>
          <w:tcPr>
            <w:tcW w:w="2586" w:type="dxa"/>
          </w:tcPr>
          <w:p w14:paraId="0FB234C4" w14:textId="77777777" w:rsidR="008312AA" w:rsidRDefault="00000000">
            <w:pPr>
              <w:jc w:val="left"/>
              <w:rPr>
                <w:rFonts w:ascii="Times New Roman" w:hAnsi="Times New Roman" w:cs="Times New Roman"/>
              </w:rPr>
            </w:pPr>
            <w:proofErr w:type="spellStart"/>
            <w:r>
              <w:rPr>
                <w:rFonts w:ascii="Times New Roman" w:hAnsi="Times New Roman" w:cs="Times New Roman"/>
              </w:rPr>
              <w:t>Läätsa</w:t>
            </w:r>
            <w:proofErr w:type="spellEnd"/>
            <w:r>
              <w:rPr>
                <w:rFonts w:ascii="Times New Roman" w:hAnsi="Times New Roman" w:cs="Times New Roman"/>
              </w:rPr>
              <w:t xml:space="preserve"> Kalatööstus AS</w:t>
            </w:r>
          </w:p>
        </w:tc>
        <w:tc>
          <w:tcPr>
            <w:tcW w:w="2745" w:type="dxa"/>
          </w:tcPr>
          <w:p w14:paraId="429F0717"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9DFC68F"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4A8309D7" w14:textId="77777777">
        <w:tc>
          <w:tcPr>
            <w:tcW w:w="762" w:type="dxa"/>
          </w:tcPr>
          <w:p w14:paraId="1FB29968" w14:textId="77777777" w:rsidR="008312AA" w:rsidRDefault="00000000">
            <w:pPr>
              <w:jc w:val="left"/>
              <w:rPr>
                <w:rFonts w:ascii="Times New Roman" w:hAnsi="Times New Roman" w:cs="Times New Roman"/>
              </w:rPr>
            </w:pPr>
            <w:r>
              <w:rPr>
                <w:rFonts w:ascii="Times New Roman" w:hAnsi="Times New Roman" w:cs="Times New Roman"/>
              </w:rPr>
              <w:t>42</w:t>
            </w:r>
          </w:p>
        </w:tc>
        <w:tc>
          <w:tcPr>
            <w:tcW w:w="2586" w:type="dxa"/>
          </w:tcPr>
          <w:p w14:paraId="21B3F291" w14:textId="77777777" w:rsidR="008312AA" w:rsidRDefault="00000000">
            <w:pPr>
              <w:jc w:val="left"/>
              <w:rPr>
                <w:rFonts w:ascii="Times New Roman" w:hAnsi="Times New Roman" w:cs="Times New Roman"/>
              </w:rPr>
            </w:pPr>
            <w:r>
              <w:rPr>
                <w:rFonts w:ascii="Times New Roman" w:hAnsi="Times New Roman" w:cs="Times New Roman"/>
              </w:rPr>
              <w:t>FIE Merike Liiv</w:t>
            </w:r>
          </w:p>
        </w:tc>
        <w:tc>
          <w:tcPr>
            <w:tcW w:w="2745" w:type="dxa"/>
          </w:tcPr>
          <w:p w14:paraId="0F6D589B"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70ECE110" w14:textId="77777777" w:rsidR="008312AA" w:rsidRDefault="00000000">
            <w:pPr>
              <w:jc w:val="left"/>
              <w:rPr>
                <w:rFonts w:ascii="Times New Roman" w:hAnsi="Times New Roman" w:cs="Times New Roman"/>
              </w:rPr>
            </w:pPr>
            <w:r>
              <w:rPr>
                <w:rFonts w:ascii="Times New Roman" w:hAnsi="Times New Roman" w:cs="Times New Roman"/>
              </w:rPr>
              <w:t>Koosolek 11.02.2022</w:t>
            </w:r>
          </w:p>
        </w:tc>
      </w:tr>
      <w:tr w:rsidR="008312AA" w14:paraId="779B5682" w14:textId="77777777">
        <w:tc>
          <w:tcPr>
            <w:tcW w:w="762" w:type="dxa"/>
          </w:tcPr>
          <w:p w14:paraId="201D4DA8" w14:textId="77777777" w:rsidR="008312AA" w:rsidRDefault="00000000">
            <w:pPr>
              <w:jc w:val="left"/>
              <w:rPr>
                <w:rFonts w:ascii="Times New Roman" w:hAnsi="Times New Roman" w:cs="Times New Roman"/>
              </w:rPr>
            </w:pPr>
            <w:r>
              <w:rPr>
                <w:rFonts w:ascii="Times New Roman" w:hAnsi="Times New Roman" w:cs="Times New Roman"/>
              </w:rPr>
              <w:t>43</w:t>
            </w:r>
          </w:p>
        </w:tc>
        <w:tc>
          <w:tcPr>
            <w:tcW w:w="2586" w:type="dxa"/>
          </w:tcPr>
          <w:p w14:paraId="1F38E3A0" w14:textId="77777777" w:rsidR="008312AA" w:rsidRDefault="00000000">
            <w:pPr>
              <w:jc w:val="left"/>
              <w:rPr>
                <w:rFonts w:ascii="Times New Roman" w:hAnsi="Times New Roman" w:cs="Times New Roman"/>
              </w:rPr>
            </w:pPr>
            <w:r>
              <w:rPr>
                <w:rFonts w:ascii="Times New Roman" w:hAnsi="Times New Roman" w:cs="Times New Roman"/>
              </w:rPr>
              <w:t>FIE Kaido Tiit</w:t>
            </w:r>
          </w:p>
        </w:tc>
        <w:tc>
          <w:tcPr>
            <w:tcW w:w="2745" w:type="dxa"/>
          </w:tcPr>
          <w:p w14:paraId="64813070"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B2C252F" w14:textId="77777777" w:rsidR="008312AA" w:rsidRDefault="00000000">
            <w:pPr>
              <w:jc w:val="left"/>
              <w:rPr>
                <w:rFonts w:ascii="Times New Roman" w:hAnsi="Times New Roman" w:cs="Times New Roman"/>
              </w:rPr>
            </w:pPr>
            <w:r>
              <w:rPr>
                <w:rFonts w:ascii="Times New Roman" w:hAnsi="Times New Roman" w:cs="Times New Roman"/>
              </w:rPr>
              <w:t>Koosolek 11.02.2022, koosolek 15.06.2023</w:t>
            </w:r>
          </w:p>
        </w:tc>
      </w:tr>
      <w:tr w:rsidR="008312AA" w14:paraId="44190E4B" w14:textId="77777777">
        <w:tc>
          <w:tcPr>
            <w:tcW w:w="762" w:type="dxa"/>
          </w:tcPr>
          <w:p w14:paraId="1D52C2A6" w14:textId="77777777" w:rsidR="008312AA" w:rsidRDefault="00000000">
            <w:pPr>
              <w:jc w:val="left"/>
              <w:rPr>
                <w:rFonts w:ascii="Times New Roman" w:hAnsi="Times New Roman" w:cs="Times New Roman"/>
              </w:rPr>
            </w:pPr>
            <w:r>
              <w:rPr>
                <w:rFonts w:ascii="Times New Roman" w:hAnsi="Times New Roman" w:cs="Times New Roman"/>
              </w:rPr>
              <w:t>44</w:t>
            </w:r>
          </w:p>
        </w:tc>
        <w:tc>
          <w:tcPr>
            <w:tcW w:w="2586" w:type="dxa"/>
          </w:tcPr>
          <w:p w14:paraId="0B0212E1" w14:textId="77777777" w:rsidR="008312AA" w:rsidRDefault="00000000">
            <w:pPr>
              <w:jc w:val="left"/>
              <w:rPr>
                <w:rFonts w:ascii="Times New Roman" w:hAnsi="Times New Roman" w:cs="Times New Roman"/>
              </w:rPr>
            </w:pPr>
            <w:r>
              <w:rPr>
                <w:rFonts w:ascii="Times New Roman" w:hAnsi="Times New Roman" w:cs="Times New Roman"/>
              </w:rPr>
              <w:t>Sõrve Tarvas OÜ</w:t>
            </w:r>
          </w:p>
        </w:tc>
        <w:tc>
          <w:tcPr>
            <w:tcW w:w="2745" w:type="dxa"/>
          </w:tcPr>
          <w:p w14:paraId="699AFA88"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798A2778"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112E1955" w14:textId="77777777">
        <w:tc>
          <w:tcPr>
            <w:tcW w:w="762" w:type="dxa"/>
          </w:tcPr>
          <w:p w14:paraId="10463C13" w14:textId="77777777" w:rsidR="008312AA" w:rsidRDefault="00000000">
            <w:pPr>
              <w:jc w:val="left"/>
              <w:rPr>
                <w:rFonts w:ascii="Times New Roman" w:hAnsi="Times New Roman" w:cs="Times New Roman"/>
              </w:rPr>
            </w:pPr>
            <w:r>
              <w:rPr>
                <w:rFonts w:ascii="Times New Roman" w:hAnsi="Times New Roman" w:cs="Times New Roman"/>
              </w:rPr>
              <w:t>45</w:t>
            </w:r>
          </w:p>
        </w:tc>
        <w:tc>
          <w:tcPr>
            <w:tcW w:w="2586" w:type="dxa"/>
          </w:tcPr>
          <w:p w14:paraId="717B5CCC" w14:textId="77777777" w:rsidR="008312AA" w:rsidRDefault="00000000">
            <w:pPr>
              <w:jc w:val="left"/>
              <w:rPr>
                <w:rFonts w:ascii="Times New Roman" w:hAnsi="Times New Roman" w:cs="Times New Roman"/>
              </w:rPr>
            </w:pPr>
            <w:r>
              <w:rPr>
                <w:rFonts w:ascii="Times New Roman" w:hAnsi="Times New Roman" w:cs="Times New Roman"/>
              </w:rPr>
              <w:t>Ula- Hansu Talu OÜ</w:t>
            </w:r>
          </w:p>
        </w:tc>
        <w:tc>
          <w:tcPr>
            <w:tcW w:w="2745" w:type="dxa"/>
          </w:tcPr>
          <w:p w14:paraId="24A3EB48"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3F85F5A9"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7065E7A7" w14:textId="77777777">
        <w:tc>
          <w:tcPr>
            <w:tcW w:w="762" w:type="dxa"/>
          </w:tcPr>
          <w:p w14:paraId="308E898D" w14:textId="77777777" w:rsidR="008312AA" w:rsidRDefault="00000000">
            <w:pPr>
              <w:jc w:val="left"/>
              <w:rPr>
                <w:rFonts w:ascii="Times New Roman" w:hAnsi="Times New Roman" w:cs="Times New Roman"/>
              </w:rPr>
            </w:pPr>
            <w:r>
              <w:rPr>
                <w:rFonts w:ascii="Times New Roman" w:hAnsi="Times New Roman" w:cs="Times New Roman"/>
              </w:rPr>
              <w:t>46</w:t>
            </w:r>
          </w:p>
        </w:tc>
        <w:tc>
          <w:tcPr>
            <w:tcW w:w="2586" w:type="dxa"/>
          </w:tcPr>
          <w:p w14:paraId="673FBE7C" w14:textId="77777777" w:rsidR="008312AA" w:rsidRDefault="00000000">
            <w:pPr>
              <w:jc w:val="left"/>
              <w:rPr>
                <w:rFonts w:ascii="Times New Roman" w:hAnsi="Times New Roman" w:cs="Times New Roman"/>
              </w:rPr>
            </w:pPr>
            <w:r>
              <w:rPr>
                <w:rFonts w:ascii="Times New Roman" w:hAnsi="Times New Roman" w:cs="Times New Roman"/>
              </w:rPr>
              <w:t>FIE Mati Sagor</w:t>
            </w:r>
          </w:p>
        </w:tc>
        <w:tc>
          <w:tcPr>
            <w:tcW w:w="2745" w:type="dxa"/>
          </w:tcPr>
          <w:p w14:paraId="137B9A34"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07D779BC"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63BF94F4" w14:textId="77777777">
        <w:tc>
          <w:tcPr>
            <w:tcW w:w="762" w:type="dxa"/>
          </w:tcPr>
          <w:p w14:paraId="1074E104" w14:textId="77777777" w:rsidR="008312AA" w:rsidRDefault="00000000">
            <w:pPr>
              <w:jc w:val="left"/>
              <w:rPr>
                <w:rFonts w:ascii="Times New Roman" w:hAnsi="Times New Roman" w:cs="Times New Roman"/>
              </w:rPr>
            </w:pPr>
            <w:r>
              <w:rPr>
                <w:rFonts w:ascii="Times New Roman" w:hAnsi="Times New Roman" w:cs="Times New Roman"/>
              </w:rPr>
              <w:t>47</w:t>
            </w:r>
          </w:p>
        </w:tc>
        <w:tc>
          <w:tcPr>
            <w:tcW w:w="2586" w:type="dxa"/>
          </w:tcPr>
          <w:p w14:paraId="6EE906EE" w14:textId="77777777" w:rsidR="008312AA" w:rsidRDefault="00000000">
            <w:pPr>
              <w:jc w:val="left"/>
              <w:rPr>
                <w:rFonts w:ascii="Times New Roman" w:hAnsi="Times New Roman" w:cs="Times New Roman"/>
              </w:rPr>
            </w:pPr>
            <w:proofErr w:type="spellStart"/>
            <w:r>
              <w:rPr>
                <w:rFonts w:ascii="Times New Roman" w:hAnsi="Times New Roman" w:cs="Times New Roman"/>
              </w:rPr>
              <w:t>Atla</w:t>
            </w:r>
            <w:proofErr w:type="spellEnd"/>
            <w:r>
              <w:rPr>
                <w:rFonts w:ascii="Times New Roman" w:hAnsi="Times New Roman" w:cs="Times New Roman"/>
              </w:rPr>
              <w:t xml:space="preserve"> Kalur OÜ</w:t>
            </w:r>
          </w:p>
        </w:tc>
        <w:tc>
          <w:tcPr>
            <w:tcW w:w="2745" w:type="dxa"/>
          </w:tcPr>
          <w:p w14:paraId="7CBBC64D"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4AB38344"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04C4BA06" w14:textId="77777777">
        <w:tc>
          <w:tcPr>
            <w:tcW w:w="762" w:type="dxa"/>
          </w:tcPr>
          <w:p w14:paraId="47C238E5" w14:textId="77777777" w:rsidR="008312AA" w:rsidRDefault="00000000">
            <w:pPr>
              <w:jc w:val="left"/>
              <w:rPr>
                <w:rFonts w:ascii="Times New Roman" w:hAnsi="Times New Roman" w:cs="Times New Roman"/>
              </w:rPr>
            </w:pPr>
            <w:r>
              <w:rPr>
                <w:rFonts w:ascii="Times New Roman" w:hAnsi="Times New Roman" w:cs="Times New Roman"/>
              </w:rPr>
              <w:t>48</w:t>
            </w:r>
          </w:p>
        </w:tc>
        <w:tc>
          <w:tcPr>
            <w:tcW w:w="2586" w:type="dxa"/>
          </w:tcPr>
          <w:p w14:paraId="010D8462" w14:textId="77777777" w:rsidR="008312AA" w:rsidRDefault="00000000">
            <w:pPr>
              <w:jc w:val="left"/>
              <w:rPr>
                <w:rFonts w:ascii="Times New Roman" w:hAnsi="Times New Roman" w:cs="Times New Roman"/>
              </w:rPr>
            </w:pPr>
            <w:r>
              <w:rPr>
                <w:rFonts w:ascii="Times New Roman" w:hAnsi="Times New Roman" w:cs="Times New Roman"/>
              </w:rPr>
              <w:t>FIE Jaanis Prii</w:t>
            </w:r>
          </w:p>
        </w:tc>
        <w:tc>
          <w:tcPr>
            <w:tcW w:w="2745" w:type="dxa"/>
          </w:tcPr>
          <w:p w14:paraId="7E9C593F" w14:textId="77777777" w:rsidR="008312AA" w:rsidRDefault="00000000">
            <w:pPr>
              <w:jc w:val="left"/>
              <w:rPr>
                <w:rFonts w:ascii="Times New Roman" w:hAnsi="Times New Roman" w:cs="Times New Roman"/>
              </w:rPr>
            </w:pPr>
            <w:r>
              <w:rPr>
                <w:rFonts w:ascii="Times New Roman" w:hAnsi="Times New Roman" w:cs="Times New Roman"/>
              </w:rPr>
              <w:t>Muu sektor</w:t>
            </w:r>
          </w:p>
        </w:tc>
        <w:tc>
          <w:tcPr>
            <w:tcW w:w="2968" w:type="dxa"/>
          </w:tcPr>
          <w:p w14:paraId="4F18C830" w14:textId="77777777" w:rsidR="008312AA" w:rsidRDefault="00000000">
            <w:pPr>
              <w:jc w:val="left"/>
              <w:rPr>
                <w:rFonts w:ascii="Times New Roman" w:hAnsi="Times New Roman" w:cs="Times New Roman"/>
              </w:rPr>
            </w:pPr>
            <w:r>
              <w:rPr>
                <w:rFonts w:ascii="Times New Roman" w:hAnsi="Times New Roman" w:cs="Times New Roman"/>
              </w:rPr>
              <w:t>Koosolek 15.06.2023</w:t>
            </w:r>
          </w:p>
        </w:tc>
      </w:tr>
      <w:tr w:rsidR="008312AA" w14:paraId="10539751" w14:textId="77777777">
        <w:tc>
          <w:tcPr>
            <w:tcW w:w="762" w:type="dxa"/>
          </w:tcPr>
          <w:p w14:paraId="0A2130D4" w14:textId="77777777" w:rsidR="008312AA" w:rsidRDefault="00000000">
            <w:pPr>
              <w:jc w:val="left"/>
              <w:rPr>
                <w:rFonts w:ascii="Times New Roman" w:hAnsi="Times New Roman" w:cs="Times New Roman"/>
              </w:rPr>
            </w:pPr>
            <w:r>
              <w:rPr>
                <w:rFonts w:ascii="Times New Roman" w:hAnsi="Times New Roman" w:cs="Times New Roman"/>
              </w:rPr>
              <w:t>49</w:t>
            </w:r>
          </w:p>
        </w:tc>
        <w:tc>
          <w:tcPr>
            <w:tcW w:w="2586" w:type="dxa"/>
          </w:tcPr>
          <w:p w14:paraId="365AF4C8" w14:textId="77777777" w:rsidR="008312AA" w:rsidRDefault="00000000">
            <w:pPr>
              <w:jc w:val="left"/>
              <w:rPr>
                <w:rFonts w:ascii="Times New Roman" w:hAnsi="Times New Roman" w:cs="Times New Roman"/>
              </w:rPr>
            </w:pPr>
            <w:proofErr w:type="spellStart"/>
            <w:r>
              <w:rPr>
                <w:rFonts w:ascii="Times New Roman" w:hAnsi="Times New Roman" w:cs="Times New Roman"/>
              </w:rPr>
              <w:t>Longplix</w:t>
            </w:r>
            <w:proofErr w:type="spellEnd"/>
            <w:r>
              <w:rPr>
                <w:rFonts w:ascii="Times New Roman" w:hAnsi="Times New Roman" w:cs="Times New Roman"/>
              </w:rPr>
              <w:t xml:space="preserve"> OÜ</w:t>
            </w:r>
          </w:p>
        </w:tc>
        <w:tc>
          <w:tcPr>
            <w:tcW w:w="2745" w:type="dxa"/>
          </w:tcPr>
          <w:p w14:paraId="5A6D663C"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31F7F3E0" w14:textId="77777777" w:rsidR="008312AA" w:rsidRDefault="00000000">
            <w:pPr>
              <w:jc w:val="left"/>
              <w:rPr>
                <w:rFonts w:ascii="Times New Roman" w:hAnsi="Times New Roman" w:cs="Times New Roman"/>
              </w:rPr>
            </w:pPr>
            <w:r>
              <w:rPr>
                <w:rFonts w:ascii="Times New Roman" w:hAnsi="Times New Roman" w:cs="Times New Roman"/>
              </w:rPr>
              <w:t>Koosolek 17.11.2023</w:t>
            </w:r>
          </w:p>
        </w:tc>
      </w:tr>
      <w:tr w:rsidR="008312AA" w14:paraId="5F3F564A" w14:textId="77777777">
        <w:tc>
          <w:tcPr>
            <w:tcW w:w="762" w:type="dxa"/>
          </w:tcPr>
          <w:p w14:paraId="71E0C814" w14:textId="77777777" w:rsidR="008312AA" w:rsidRDefault="00000000">
            <w:pPr>
              <w:jc w:val="left"/>
              <w:rPr>
                <w:rFonts w:ascii="Times New Roman" w:hAnsi="Times New Roman" w:cs="Times New Roman"/>
              </w:rPr>
            </w:pPr>
            <w:r>
              <w:rPr>
                <w:rFonts w:ascii="Times New Roman" w:hAnsi="Times New Roman" w:cs="Times New Roman"/>
              </w:rPr>
              <w:t>50</w:t>
            </w:r>
          </w:p>
        </w:tc>
        <w:tc>
          <w:tcPr>
            <w:tcW w:w="2586" w:type="dxa"/>
          </w:tcPr>
          <w:p w14:paraId="5768964F" w14:textId="77777777" w:rsidR="008312AA" w:rsidRDefault="00000000">
            <w:pPr>
              <w:jc w:val="left"/>
              <w:rPr>
                <w:rFonts w:ascii="Times New Roman" w:hAnsi="Times New Roman" w:cs="Times New Roman"/>
              </w:rPr>
            </w:pPr>
            <w:proofErr w:type="spellStart"/>
            <w:r>
              <w:rPr>
                <w:rFonts w:ascii="Times New Roman" w:hAnsi="Times New Roman" w:cs="Times New Roman"/>
              </w:rPr>
              <w:t>Rahnel</w:t>
            </w:r>
            <w:proofErr w:type="spellEnd"/>
            <w:r>
              <w:rPr>
                <w:rFonts w:ascii="Times New Roman" w:hAnsi="Times New Roman" w:cs="Times New Roman"/>
              </w:rPr>
              <w:t xml:space="preserve"> OÜ</w:t>
            </w:r>
          </w:p>
        </w:tc>
        <w:tc>
          <w:tcPr>
            <w:tcW w:w="2745" w:type="dxa"/>
          </w:tcPr>
          <w:p w14:paraId="625B3608" w14:textId="77777777" w:rsidR="008312AA" w:rsidRDefault="00000000">
            <w:pPr>
              <w:jc w:val="left"/>
              <w:rPr>
                <w:rFonts w:ascii="Times New Roman" w:hAnsi="Times New Roman" w:cs="Times New Roman"/>
              </w:rPr>
            </w:pPr>
            <w:r>
              <w:rPr>
                <w:rFonts w:ascii="Times New Roman" w:hAnsi="Times New Roman" w:cs="Times New Roman"/>
              </w:rPr>
              <w:t>Kalandussektor</w:t>
            </w:r>
          </w:p>
        </w:tc>
        <w:tc>
          <w:tcPr>
            <w:tcW w:w="2968" w:type="dxa"/>
          </w:tcPr>
          <w:p w14:paraId="6034A8DF" w14:textId="77777777" w:rsidR="008312AA" w:rsidRDefault="00000000">
            <w:pPr>
              <w:jc w:val="left"/>
              <w:rPr>
                <w:rFonts w:ascii="Times New Roman" w:hAnsi="Times New Roman" w:cs="Times New Roman"/>
              </w:rPr>
            </w:pPr>
            <w:r>
              <w:rPr>
                <w:rFonts w:ascii="Times New Roman" w:hAnsi="Times New Roman" w:cs="Times New Roman"/>
              </w:rPr>
              <w:t>Koosolek 17.11.2023</w:t>
            </w:r>
          </w:p>
        </w:tc>
      </w:tr>
    </w:tbl>
    <w:p w14:paraId="1BDE4893" w14:textId="77777777" w:rsidR="008312AA" w:rsidRDefault="008312AA">
      <w:pPr>
        <w:jc w:val="left"/>
        <w:rPr>
          <w:rFonts w:ascii="Times New Roman" w:hAnsi="Times New Roman" w:cs="Times New Roman"/>
        </w:rPr>
      </w:pPr>
    </w:p>
    <w:p w14:paraId="3992F443" w14:textId="77777777" w:rsidR="008312AA" w:rsidRDefault="00000000">
      <w:pPr>
        <w:spacing w:after="160" w:line="259" w:lineRule="auto"/>
        <w:jc w:val="left"/>
        <w:rPr>
          <w:rFonts w:ascii="Times New Roman" w:hAnsi="Times New Roman" w:cs="Times New Roman"/>
        </w:rPr>
      </w:pPr>
      <w:r>
        <w:br w:type="page"/>
      </w:r>
    </w:p>
    <w:p w14:paraId="55B18568" w14:textId="77777777" w:rsidR="008312AA" w:rsidRDefault="00000000" w:rsidP="00541032">
      <w:pPr>
        <w:pStyle w:val="Pealkiri1"/>
        <w:spacing w:before="0"/>
        <w:ind w:left="0" w:firstLine="0"/>
        <w:jc w:val="left"/>
        <w:rPr>
          <w:rFonts w:ascii="Times New Roman" w:hAnsi="Times New Roman" w:cs="Times New Roman"/>
        </w:rPr>
      </w:pPr>
      <w:bookmarkStart w:id="117" w:name="_Toc157420988"/>
      <w:r>
        <w:rPr>
          <w:rFonts w:ascii="Times New Roman" w:hAnsi="Times New Roman" w:cs="Times New Roman"/>
        </w:rPr>
        <w:lastRenderedPageBreak/>
        <w:t>LISA 3. Strateegia koostamise käigus läbi viidud küsitlused</w:t>
      </w:r>
      <w:bookmarkEnd w:id="117"/>
    </w:p>
    <w:p w14:paraId="1657C32C" w14:textId="77777777" w:rsidR="008312AA" w:rsidRDefault="00000000">
      <w:pPr>
        <w:spacing w:beforeAutospacing="1" w:afterAutospacing="1"/>
        <w:rPr>
          <w:rFonts w:ascii="Times New Roman" w:hAnsi="Times New Roman" w:cs="Times New Roman"/>
          <w:b/>
          <w:bCs/>
        </w:rPr>
      </w:pPr>
      <w:r>
        <w:rPr>
          <w:rFonts w:ascii="Times New Roman" w:hAnsi="Times New Roman" w:cs="Times New Roman"/>
          <w:b/>
          <w:bCs/>
        </w:rPr>
        <w:t>1. Uue perioodi arenguvajadused, tegevused, ühingu töökorraldus</w:t>
      </w:r>
    </w:p>
    <w:p w14:paraId="3FE72109" w14:textId="77777777" w:rsidR="008312AA" w:rsidRDefault="00000000">
      <w:pPr>
        <w:spacing w:beforeAutospacing="1" w:afterAutospacing="1"/>
        <w:rPr>
          <w:rFonts w:ascii="Times New Roman" w:eastAsia="Times New Roman" w:hAnsi="Times New Roman" w:cs="Times New Roman"/>
        </w:rPr>
      </w:pPr>
      <w:r>
        <w:rPr>
          <w:rFonts w:ascii="Times New Roman" w:hAnsi="Times New Roman" w:cs="Times New Roman"/>
        </w:rPr>
        <w:t>02. 02. 2022. a edastati ühingu liikmetele e-kirja listi vahendusel arenguvajaduste kaardistamise küsimustik, milles paluti vastata kolmele küsimusele. Tagasisidena laekus</w:t>
      </w:r>
      <w:r>
        <w:rPr>
          <w:rFonts w:ascii="Times New Roman" w:eastAsia="Times New Roman" w:hAnsi="Times New Roman" w:cs="Times New Roman"/>
        </w:rPr>
        <w:t xml:space="preserve"> neli ettepanekut/ arvamust. Veebruaris 2022. a oli ühingu liikmete arv 147 ehk vastamismäär oli 3%.</w:t>
      </w:r>
    </w:p>
    <w:p w14:paraId="20EB3D00" w14:textId="77777777" w:rsidR="008312AA" w:rsidRDefault="00000000">
      <w:pPr>
        <w:spacing w:beforeAutospacing="1" w:afterAutospacing="1"/>
        <w:rPr>
          <w:rFonts w:ascii="Times New Roman" w:eastAsia="Times New Roman" w:hAnsi="Times New Roman" w:cs="Times New Roman"/>
          <w:b/>
          <w:bCs/>
        </w:rPr>
      </w:pPr>
      <w:r>
        <w:rPr>
          <w:rFonts w:ascii="Times New Roman" w:eastAsia="Times New Roman" w:hAnsi="Times New Roman" w:cs="Times New Roman"/>
          <w:b/>
          <w:bCs/>
        </w:rPr>
        <w:t>Küsitluse tulemused:</w:t>
      </w:r>
    </w:p>
    <w:p w14:paraId="7B8FDD99" w14:textId="77777777" w:rsidR="008312AA" w:rsidRDefault="00000000">
      <w:pPr>
        <w:pStyle w:val="Loendilik"/>
        <w:numPr>
          <w:ilvl w:val="0"/>
          <w:numId w:val="19"/>
        </w:numPr>
        <w:spacing w:beforeAutospacing="1" w:afterAutospacing="1" w:line="259" w:lineRule="auto"/>
        <w:rPr>
          <w:rFonts w:ascii="Times New Roman" w:eastAsia="Times New Roman" w:hAnsi="Times New Roman" w:cs="Times New Roman"/>
        </w:rPr>
      </w:pPr>
      <w:r>
        <w:rPr>
          <w:rFonts w:ascii="Times New Roman" w:eastAsia="Times New Roman" w:hAnsi="Times New Roman" w:cs="Times New Roman"/>
        </w:rPr>
        <w:t>Milliste tegevustega jätkamist peate esmatähtsaks ja millised tegevused võiks lõpetada?</w:t>
      </w:r>
    </w:p>
    <w:p w14:paraId="5935240D" w14:textId="77777777" w:rsidR="008312AA" w:rsidRDefault="00000000">
      <w:pPr>
        <w:spacing w:beforeAutospacing="1" w:afterAutospacing="1" w:line="259" w:lineRule="auto"/>
        <w:rPr>
          <w:rFonts w:ascii="Times New Roman" w:hAnsi="Times New Roman" w:cs="Times New Roman"/>
          <w:i/>
          <w:iCs/>
        </w:rPr>
      </w:pPr>
      <w:r>
        <w:rPr>
          <w:rFonts w:ascii="Times New Roman" w:hAnsi="Times New Roman" w:cs="Times New Roman"/>
          <w:i/>
          <w:iCs/>
        </w:rPr>
        <w:t>Kindlasti peaks jätkuma esimene tegevussuund (</w:t>
      </w:r>
      <w:proofErr w:type="spellStart"/>
      <w:r>
        <w:rPr>
          <w:rFonts w:ascii="Times New Roman" w:hAnsi="Times New Roman" w:cs="Times New Roman"/>
          <w:i/>
          <w:iCs/>
        </w:rPr>
        <w:t>väärindamine</w:t>
      </w:r>
      <w:proofErr w:type="spellEnd"/>
      <w:r>
        <w:rPr>
          <w:rFonts w:ascii="Times New Roman" w:hAnsi="Times New Roman" w:cs="Times New Roman"/>
          <w:i/>
          <w:iCs/>
        </w:rPr>
        <w:t xml:space="preserve">). Lastele/noortele suunatud tegevused peaksid jätkuma.  Nn pehmete valdkondade toetuste puhul võiks MTÜ-de omaosaluse % olla väiksem, eriti eelpoolnimetatud lastele/noortele suunatud tegevuste puhul. Pehmed tegevused suhteliselt väikese mahuga? Ehk on Saarte Kalandusel võimalik tekitada sarnane süsteem mitmetele teistele toetajatele, kus on (nt 30 000 </w:t>
      </w:r>
      <w:proofErr w:type="spellStart"/>
      <w:r>
        <w:rPr>
          <w:rFonts w:ascii="Times New Roman" w:hAnsi="Times New Roman" w:cs="Times New Roman"/>
          <w:i/>
          <w:iCs/>
        </w:rPr>
        <w:t>eur</w:t>
      </w:r>
      <w:proofErr w:type="spellEnd"/>
      <w:r>
        <w:rPr>
          <w:rFonts w:ascii="Times New Roman" w:hAnsi="Times New Roman" w:cs="Times New Roman"/>
          <w:i/>
          <w:iCs/>
        </w:rPr>
        <w:t>) ja sealt võivad kõik kalanduse ja rannaeluga seotud tegevuste toetuseks taotleda (jooksvalt või 2x aastas. Väikesed, lihtsad, odavad ideed, mis strateegia elluviimist toetavad, võiksid olla lihtsa menetlusviisiga ja hõlpsasti toetatavad.  Ajaloolise püügiõiguse küsimus ja toetavate MTÜde % - nn karuteene selles osas, kus liikmeid rohkem.  Suuremate projektide puhul võiks kaaluda 2-astmelist menetlust,  kõigepealt põhimõtteline nõusolek ja edasi esitatakse põhiprojekt. Strateegias peaks olema oma nägemus konkreetsete investeeringute näitel. Toetused rannakalandust tutvustavatele tegevustele ja ka nt kirjandusväljaannetele.</w:t>
      </w:r>
    </w:p>
    <w:p w14:paraId="66B4EF19" w14:textId="77777777" w:rsidR="008312AA" w:rsidRDefault="00000000">
      <w:pPr>
        <w:pStyle w:val="Loendilik"/>
        <w:numPr>
          <w:ilvl w:val="0"/>
          <w:numId w:val="19"/>
        </w:numPr>
        <w:spacing w:beforeAutospacing="1" w:afterAutospacing="1" w:line="259" w:lineRule="auto"/>
        <w:rPr>
          <w:rFonts w:ascii="Times New Roman" w:eastAsia="Times New Roman" w:hAnsi="Times New Roman" w:cs="Times New Roman"/>
        </w:rPr>
      </w:pPr>
      <w:r>
        <w:rPr>
          <w:rFonts w:ascii="Times New Roman" w:eastAsia="Times New Roman" w:hAnsi="Times New Roman" w:cs="Times New Roman"/>
        </w:rPr>
        <w:t>Milliseid uusi tegevusi võiks kavandada?</w:t>
      </w:r>
    </w:p>
    <w:p w14:paraId="46456CE5" w14:textId="77777777" w:rsidR="008312AA" w:rsidRDefault="00000000">
      <w:pPr>
        <w:spacing w:beforeAutospacing="1" w:afterAutospacing="1" w:line="259" w:lineRule="auto"/>
        <w:rPr>
          <w:rFonts w:ascii="Times New Roman" w:eastAsia="Times New Roman" w:hAnsi="Times New Roman" w:cs="Times New Roman"/>
          <w:i/>
          <w:iCs/>
        </w:rPr>
      </w:pPr>
      <w:r>
        <w:rPr>
          <w:rFonts w:ascii="Times New Roman" w:eastAsia="Times New Roman" w:hAnsi="Times New Roman" w:cs="Times New Roman"/>
          <w:i/>
          <w:iCs/>
        </w:rPr>
        <w:t xml:space="preserve">Sisse viia eraldi tegevussuund kalakasvatustele. </w:t>
      </w:r>
      <w:r>
        <w:rPr>
          <w:i/>
          <w:iCs/>
        </w:rPr>
        <w:t xml:space="preserve">Õpperadade/ loodusradade rajamise toetus MTÜ-dele (omaosalus </w:t>
      </w:r>
      <w:proofErr w:type="spellStart"/>
      <w:r>
        <w:rPr>
          <w:i/>
          <w:iCs/>
        </w:rPr>
        <w:t>max</w:t>
      </w:r>
      <w:proofErr w:type="spellEnd"/>
      <w:r>
        <w:rPr>
          <w:i/>
          <w:iCs/>
        </w:rPr>
        <w:t xml:space="preserve"> 10%). Kalandusturismi arendamine. Külastuskeskkonnale suunatud pehmed tegevused. Biosfääri programmialaga seotud tegevused. Toetada tegevusi, mis aitavad kaluril tegeleda puhtalt kalapüügiga, mitte ainult </w:t>
      </w:r>
      <w:proofErr w:type="spellStart"/>
      <w:r>
        <w:rPr>
          <w:i/>
          <w:iCs/>
        </w:rPr>
        <w:t>kõrvaltegevusalade</w:t>
      </w:r>
      <w:proofErr w:type="spellEnd"/>
      <w:r>
        <w:rPr>
          <w:i/>
          <w:iCs/>
        </w:rPr>
        <w:t xml:space="preserve"> toetamine.</w:t>
      </w:r>
    </w:p>
    <w:p w14:paraId="706F6CB9" w14:textId="77777777" w:rsidR="008312AA" w:rsidRDefault="00000000">
      <w:pPr>
        <w:pStyle w:val="Loendilik"/>
        <w:numPr>
          <w:ilvl w:val="0"/>
          <w:numId w:val="19"/>
        </w:numPr>
        <w:spacing w:beforeAutospacing="1" w:afterAutospacing="1" w:line="259" w:lineRule="auto"/>
        <w:rPr>
          <w:rFonts w:ascii="Times New Roman" w:eastAsia="Times New Roman" w:hAnsi="Times New Roman" w:cs="Times New Roman"/>
        </w:rPr>
      </w:pPr>
      <w:r>
        <w:rPr>
          <w:rFonts w:ascii="Times New Roman" w:eastAsia="Times New Roman" w:hAnsi="Times New Roman" w:cs="Times New Roman"/>
        </w:rPr>
        <w:t>Kas võiks midagi muuta Saarte Kalanduse töökorralduses?</w:t>
      </w:r>
    </w:p>
    <w:p w14:paraId="7DAAE5BF" w14:textId="77777777" w:rsidR="008312AA" w:rsidRDefault="00000000">
      <w:pPr>
        <w:spacing w:line="276" w:lineRule="auto"/>
        <w:rPr>
          <w:rFonts w:ascii="Times New Roman" w:hAnsi="Times New Roman" w:cs="Times New Roman"/>
          <w:i/>
          <w:iCs/>
        </w:rPr>
      </w:pPr>
      <w:r>
        <w:rPr>
          <w:rFonts w:ascii="Times New Roman" w:hAnsi="Times New Roman" w:cs="Times New Roman"/>
          <w:i/>
          <w:iCs/>
        </w:rPr>
        <w:t>Ettepanek muuta hindamistulemuste kinnitamise 2/3 häälteenamuse nõuet üldkoosolekul, et elimineerida hindamistulemuste mittekinnitamist üldkoosoleku poolt.</w:t>
      </w:r>
    </w:p>
    <w:p w14:paraId="203CC9FF" w14:textId="77777777" w:rsidR="008312AA" w:rsidRDefault="008312AA">
      <w:pPr>
        <w:spacing w:line="276" w:lineRule="auto"/>
        <w:rPr>
          <w:rFonts w:ascii="Times New Roman" w:hAnsi="Times New Roman" w:cs="Times New Roman"/>
          <w:i/>
          <w:iCs/>
        </w:rPr>
      </w:pPr>
    </w:p>
    <w:p w14:paraId="571E0DFB" w14:textId="77777777" w:rsidR="008312AA" w:rsidRDefault="00000000">
      <w:pPr>
        <w:spacing w:line="276" w:lineRule="auto"/>
        <w:rPr>
          <w:rFonts w:ascii="Times New Roman" w:hAnsi="Times New Roman" w:cs="Times New Roman"/>
          <w:b/>
          <w:bCs/>
        </w:rPr>
      </w:pPr>
      <w:r>
        <w:rPr>
          <w:rFonts w:ascii="Times New Roman" w:hAnsi="Times New Roman" w:cs="Times New Roman"/>
          <w:b/>
          <w:bCs/>
        </w:rPr>
        <w:t>2. Sadamapidajate küsimustik</w:t>
      </w:r>
    </w:p>
    <w:p w14:paraId="370B47ED" w14:textId="77777777" w:rsidR="008312AA" w:rsidRDefault="00000000">
      <w:pPr>
        <w:pStyle w:val="Standard"/>
        <w:jc w:val="both"/>
        <w:rPr>
          <w:rFonts w:ascii="Times New Roman" w:hAnsi="Times New Roman"/>
        </w:rPr>
      </w:pPr>
      <w:r>
        <w:rPr>
          <w:rFonts w:ascii="Times New Roman" w:hAnsi="Times New Roman"/>
          <w:sz w:val="24"/>
          <w:szCs w:val="24"/>
        </w:rPr>
        <w:t>21. 11. 2022. a saadeti sadamapidajatele e- kiri, milles paluti saata sadamate arenguvajaduste ülevaade. Tagasisidet anti kaheksa sadama osas.</w:t>
      </w:r>
    </w:p>
    <w:p w14:paraId="46D31E99" w14:textId="77777777" w:rsidR="008312AA" w:rsidRDefault="00000000">
      <w:pPr>
        <w:pStyle w:val="Standard"/>
        <w:jc w:val="both"/>
        <w:rPr>
          <w:rFonts w:ascii="Times New Roman" w:hAnsi="Times New Roman"/>
          <w:sz w:val="24"/>
          <w:szCs w:val="24"/>
        </w:rPr>
      </w:pPr>
      <w:r>
        <w:rPr>
          <w:rFonts w:ascii="Times New Roman" w:hAnsi="Times New Roman"/>
          <w:sz w:val="24"/>
          <w:szCs w:val="24"/>
        </w:rPr>
        <w:t>16. 05. 2023. a saadeti e- kirja küsimustik sadamapidajatele (palusime sadamapidajatel täita küsimustiku sadama lossimiste, planeeritavate investeeringute, nende orienteeruva maksumuse ja juba tehtud investeeringute kirjelduse kohta. Tagasisidet saime kaheksa sadama osas).</w:t>
      </w:r>
    </w:p>
    <w:p w14:paraId="2C49A2B5" w14:textId="77777777" w:rsidR="008312AA" w:rsidRDefault="00000000">
      <w:pPr>
        <w:pStyle w:val="Standard"/>
        <w:jc w:val="both"/>
        <w:rPr>
          <w:rFonts w:ascii="Times New Roman" w:hAnsi="Times New Roman"/>
        </w:rPr>
      </w:pPr>
      <w:r>
        <w:rPr>
          <w:rFonts w:ascii="Times New Roman" w:hAnsi="Times New Roman"/>
          <w:sz w:val="24"/>
          <w:szCs w:val="24"/>
        </w:rPr>
        <w:lastRenderedPageBreak/>
        <w:t xml:space="preserve">Sadamapidajate seas läbi viidud arenguvajaduste kaardistamise küsitlusest tulid välja peamised investeeringuvajadused, milleks enim mainituna olid kala lossimiseks paremate tingimuste loomine, väikepaadi kaide ehitus ja renoveerimine, kalurite olmetingimuste parandamine (sadamahoonete ehitamine ja renoveerimine jms), muu sadama tegevuseks vajaliku infrastruktuuri väljaehitamine ja parendamine, kaitsemuulide väljaehitamine ja parendamine, faarvaatri puhastamine, keskkonnasäästlike (taastuvenergia) lahenduste kasutusele võtmine, sadama </w:t>
      </w:r>
      <w:proofErr w:type="spellStart"/>
      <w:r>
        <w:rPr>
          <w:rFonts w:ascii="Times New Roman" w:hAnsi="Times New Roman"/>
          <w:sz w:val="24"/>
          <w:szCs w:val="24"/>
        </w:rPr>
        <w:t>virgestusala</w:t>
      </w:r>
      <w:proofErr w:type="spellEnd"/>
      <w:r>
        <w:rPr>
          <w:rFonts w:ascii="Times New Roman" w:hAnsi="Times New Roman"/>
          <w:sz w:val="24"/>
          <w:szCs w:val="24"/>
        </w:rPr>
        <w:t xml:space="preserve"> loomine, erinevate lisateenistust võimaldavate sadamateenuste spektri laiendamine kalasadamates. Küsitluse tulemuste analüüsist nähtus, et oluline on toetada investeeringuid, mis mitmekesistavad kalasadamates pakutavaid teenuseid, pakuvad kaluritele kala lossimise ja hoiustamise teenuseid ning võimaldab sadamates hoida kalapüügialuseid. Sadamapidajad peavad oluliseks ka investeeringuid, mis keskenduvad mere ja tööohutusele väikesadamates ja vähendavad ekstreemsetest ilmastikuoludest tulenevaid kahjustusi sadamataristule.</w:t>
      </w:r>
    </w:p>
    <w:p w14:paraId="1FF3CC67" w14:textId="77777777" w:rsidR="008312AA" w:rsidRDefault="00000000">
      <w:pPr>
        <w:spacing w:after="160" w:line="259" w:lineRule="auto"/>
        <w:rPr>
          <w:rFonts w:ascii="Times New Roman" w:eastAsia="Calibri" w:hAnsi="Times New Roman" w:cs="Times New Roman"/>
          <w:kern w:val="2"/>
          <w:lang w:eastAsia="zh-CN"/>
        </w:rPr>
      </w:pPr>
      <w:r>
        <w:br w:type="page"/>
      </w:r>
    </w:p>
    <w:p w14:paraId="66F54C4E" w14:textId="77777777" w:rsidR="008312AA" w:rsidRDefault="00000000" w:rsidP="00541032">
      <w:pPr>
        <w:pStyle w:val="Pealkiri1"/>
        <w:spacing w:before="0"/>
        <w:ind w:left="0" w:firstLine="0"/>
        <w:rPr>
          <w:rFonts w:ascii="Times New Roman" w:hAnsi="Times New Roman" w:cs="Times New Roman"/>
          <w:color w:val="auto"/>
        </w:rPr>
      </w:pPr>
      <w:bookmarkStart w:id="118" w:name="_Toc157420989"/>
      <w:r>
        <w:rPr>
          <w:rFonts w:ascii="Times New Roman" w:hAnsi="Times New Roman" w:cs="Times New Roman"/>
        </w:rPr>
        <w:lastRenderedPageBreak/>
        <w:t>LISA 4. Strateegia sadamate nimistu</w:t>
      </w:r>
      <w:bookmarkEnd w:id="118"/>
    </w:p>
    <w:p w14:paraId="6B7D31B6" w14:textId="77777777" w:rsidR="008312AA" w:rsidRDefault="008312AA">
      <w:pPr>
        <w:spacing w:line="276" w:lineRule="auto"/>
        <w:rPr>
          <w:rFonts w:ascii="Times New Roman" w:hAnsi="Times New Roman" w:cs="Times New Roman"/>
        </w:rPr>
      </w:pPr>
    </w:p>
    <w:tbl>
      <w:tblPr>
        <w:tblW w:w="9639" w:type="dxa"/>
        <w:tblInd w:w="-11" w:type="dxa"/>
        <w:tblLayout w:type="fixed"/>
        <w:tblLook w:val="04A0" w:firstRow="1" w:lastRow="0" w:firstColumn="1" w:lastColumn="0" w:noHBand="0" w:noVBand="1"/>
      </w:tblPr>
      <w:tblGrid>
        <w:gridCol w:w="3340"/>
        <w:gridCol w:w="6299"/>
      </w:tblGrid>
      <w:tr w:rsidR="008312AA" w14:paraId="4CBE2343"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3CE90A1B" w14:textId="77777777" w:rsidR="008312AA" w:rsidRDefault="00000000">
            <w:pPr>
              <w:spacing w:after="0"/>
              <w:ind w:right="57"/>
              <w:rPr>
                <w:rFonts w:ascii="Times New Roman" w:hAnsi="Times New Roman" w:cs="Times New Roman"/>
              </w:rPr>
            </w:pPr>
            <w:r>
              <w:rPr>
                <w:rFonts w:ascii="Times New Roman" w:eastAsia="Times New Roman" w:hAnsi="Times New Roman" w:cs="Times New Roman"/>
                <w:b/>
                <w:shd w:val="clear" w:color="auto" w:fill="FFFF00"/>
              </w:rPr>
              <w:t>Sadam</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5335725E" w14:textId="77777777" w:rsidR="008312AA" w:rsidRDefault="00000000">
            <w:pPr>
              <w:spacing w:after="0"/>
              <w:ind w:right="57"/>
              <w:rPr>
                <w:rFonts w:ascii="Times New Roman" w:eastAsia="Times New Roman" w:hAnsi="Times New Roman" w:cs="Times New Roman"/>
                <w:b/>
                <w:shd w:val="clear" w:color="auto" w:fill="FFFF00"/>
              </w:rPr>
            </w:pPr>
            <w:r>
              <w:rPr>
                <w:rFonts w:ascii="Times New Roman" w:eastAsia="Times New Roman" w:hAnsi="Times New Roman" w:cs="Times New Roman"/>
                <w:b/>
                <w:shd w:val="clear" w:color="auto" w:fill="FFFF00"/>
              </w:rPr>
              <w:t>Nasva jõesadam</w:t>
            </w:r>
          </w:p>
          <w:p w14:paraId="447161B5" w14:textId="77777777" w:rsidR="008312AA" w:rsidRDefault="008312AA">
            <w:pPr>
              <w:spacing w:after="0"/>
              <w:ind w:right="57"/>
              <w:rPr>
                <w:rFonts w:ascii="Times New Roman" w:hAnsi="Times New Roman" w:cs="Times New Roman"/>
              </w:rPr>
            </w:pPr>
          </w:p>
        </w:tc>
      </w:tr>
      <w:tr w:rsidR="008312AA" w14:paraId="007CFB98"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355B9842"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Asukoht</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15ECEA6E" w14:textId="77777777" w:rsidR="008312AA" w:rsidRDefault="00000000">
            <w:pPr>
              <w:spacing w:after="0"/>
              <w:ind w:right="57"/>
              <w:jc w:val="left"/>
              <w:rPr>
                <w:rFonts w:ascii="Times New Roman" w:eastAsia="Arial" w:hAnsi="Times New Roman" w:cs="Times New Roman"/>
                <w:color w:val="212529"/>
                <w:shd w:val="clear" w:color="auto" w:fill="FFFFFF"/>
              </w:rPr>
            </w:pPr>
            <w:r>
              <w:rPr>
                <w:rFonts w:ascii="Times New Roman" w:eastAsia="Arial" w:hAnsi="Times New Roman" w:cs="Times New Roman"/>
                <w:color w:val="212529"/>
                <w:shd w:val="clear" w:color="auto" w:fill="FFFFFF"/>
              </w:rPr>
              <w:t>Saare maakond, Saaremaa vald, Nasva alevik, Ülejõe tn 4, 93872, katastriüksuse tunnus 34804:001:0082,34804:001:0081</w:t>
            </w:r>
          </w:p>
          <w:p w14:paraId="3CEA3841" w14:textId="77777777" w:rsidR="008312AA" w:rsidRDefault="00000000">
            <w:pPr>
              <w:spacing w:after="0"/>
              <w:ind w:right="57"/>
              <w:jc w:val="left"/>
              <w:rPr>
                <w:rFonts w:ascii="Times New Roman" w:hAnsi="Times New Roman" w:cs="Times New Roman"/>
              </w:rPr>
            </w:pPr>
            <w:r>
              <w:rPr>
                <w:rFonts w:ascii="Times New Roman" w:eastAsia="Arial" w:hAnsi="Times New Roman" w:cs="Times New Roman"/>
                <w:color w:val="212529"/>
                <w:shd w:val="clear" w:color="auto" w:fill="FFFFFF"/>
              </w:rPr>
              <w:t xml:space="preserve">Sadamaregistri link: </w:t>
            </w:r>
            <w:hyperlink r:id="rId106">
              <w:r>
                <w:rPr>
                  <w:rStyle w:val="Hperlink"/>
                  <w:rFonts w:ascii="Times New Roman" w:eastAsia="Arial" w:hAnsi="Times New Roman" w:cs="Times New Roman"/>
                  <w:shd w:val="clear" w:color="auto" w:fill="FFFFFF"/>
                </w:rPr>
                <w:t>https://www.sadamaregister.ee/sadam/2200</w:t>
              </w:r>
            </w:hyperlink>
            <w:r>
              <w:rPr>
                <w:rFonts w:ascii="Times New Roman" w:eastAsia="Arial" w:hAnsi="Times New Roman" w:cs="Times New Roman"/>
                <w:color w:val="212529"/>
                <w:shd w:val="clear" w:color="auto" w:fill="FFFFFF"/>
              </w:rPr>
              <w:t xml:space="preserve"> </w:t>
            </w:r>
          </w:p>
        </w:tc>
      </w:tr>
      <w:tr w:rsidR="008312AA" w14:paraId="5697552D"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55CCB1DC"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Kaide äärne sügavus</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28D0353E"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1,1 – 1,3</w:t>
            </w:r>
          </w:p>
        </w:tc>
      </w:tr>
      <w:tr w:rsidR="008312AA" w14:paraId="6D96329E"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06AB8E65"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Akvatooriumi suurus</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7E827382"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6000 m</w:t>
            </w:r>
            <w:r>
              <w:rPr>
                <w:rFonts w:ascii="Times New Roman" w:eastAsia="Calibri" w:hAnsi="Times New Roman" w:cs="Times New Roman"/>
                <w:vertAlign w:val="superscript"/>
              </w:rPr>
              <w:t xml:space="preserve">2 </w:t>
            </w:r>
          </w:p>
        </w:tc>
      </w:tr>
      <w:tr w:rsidR="008312AA" w14:paraId="592FB389"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3620C2EC" w14:textId="77777777" w:rsidR="008312AA" w:rsidRDefault="00000000">
            <w:pPr>
              <w:spacing w:after="0"/>
              <w:ind w:right="57"/>
              <w:jc w:val="left"/>
              <w:rPr>
                <w:rFonts w:ascii="Times New Roman" w:eastAsia="Times New Roman" w:hAnsi="Times New Roman" w:cs="Times New Roman"/>
                <w:b/>
              </w:rPr>
            </w:pPr>
            <w:r>
              <w:rPr>
                <w:rFonts w:ascii="Times New Roman" w:eastAsia="Times New Roman" w:hAnsi="Times New Roman" w:cs="Times New Roman"/>
                <w:b/>
              </w:rPr>
              <w:t>Sadama territooriumi suurus</w:t>
            </w:r>
          </w:p>
          <w:p w14:paraId="21E2A463"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(pindala)</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0EC93CD7"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8495,2 m</w:t>
            </w:r>
            <w:r>
              <w:rPr>
                <w:rFonts w:ascii="Times New Roman" w:eastAsia="Times New Roman" w:hAnsi="Times New Roman" w:cs="Times New Roman"/>
                <w:vertAlign w:val="superscript"/>
              </w:rPr>
              <w:t>2</w:t>
            </w:r>
          </w:p>
        </w:tc>
      </w:tr>
      <w:tr w:rsidR="008312AA" w14:paraId="7258B46A"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160767CA"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 laevastiku kirjeldus (segmendid)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35255BC4"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Kalalaevad 4S1, 4S2, 4S4</w:t>
            </w:r>
          </w:p>
          <w:p w14:paraId="753E4E8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Hobi- ja harrastuslaevad</w:t>
            </w:r>
          </w:p>
        </w:tc>
      </w:tr>
      <w:tr w:rsidR="008312AA" w14:paraId="24FC078B"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500E3913"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Sadamapidaja kontaktid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4CB05D67"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 xml:space="preserve">Saaremaa Vallavalitsus (77000306),  Raivo Kahm, +372 522 8547, </w:t>
            </w:r>
            <w:hyperlink r:id="rId107">
              <w:r>
                <w:rPr>
                  <w:rFonts w:ascii="Times New Roman" w:eastAsia="Times New Roman" w:hAnsi="Times New Roman" w:cs="Times New Roman"/>
                  <w:color w:val="0000FF"/>
                  <w:u w:val="single"/>
                </w:rPr>
                <w:t>vald@saaremaavald.ee</w:t>
              </w:r>
            </w:hyperlink>
            <w:r>
              <w:rPr>
                <w:rFonts w:ascii="Times New Roman" w:eastAsia="Times New Roman" w:hAnsi="Times New Roman" w:cs="Times New Roman"/>
              </w:rPr>
              <w:t xml:space="preserve">, </w:t>
            </w:r>
            <w:hyperlink r:id="rId108">
              <w:r>
                <w:rPr>
                  <w:rFonts w:ascii="Times New Roman" w:eastAsia="Times New Roman" w:hAnsi="Times New Roman" w:cs="Times New Roman"/>
                  <w:color w:val="0000FF"/>
                  <w:u w:val="single"/>
                </w:rPr>
                <w:t>raido.kahm@saaremaavald.ee</w:t>
              </w:r>
            </w:hyperlink>
            <w:r>
              <w:rPr>
                <w:rFonts w:ascii="Times New Roman" w:eastAsia="Times New Roman" w:hAnsi="Times New Roman" w:cs="Times New Roman"/>
              </w:rPr>
              <w:t xml:space="preserve">, </w:t>
            </w:r>
            <w:hyperlink r:id="rId109">
              <w:r>
                <w:rPr>
                  <w:rFonts w:ascii="Times New Roman" w:eastAsia="Times New Roman" w:hAnsi="Times New Roman" w:cs="Times New Roman"/>
                  <w:color w:val="0000FF"/>
                  <w:u w:val="single"/>
                </w:rPr>
                <w:t>www.saaremaavald.ee</w:t>
              </w:r>
            </w:hyperlink>
          </w:p>
        </w:tc>
      </w:tr>
      <w:tr w:rsidR="008312AA" w14:paraId="7191BB02"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73BA3224"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Milline on sadama kasutusaktiivsus sh püügivõimalused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49227654"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Sadamat kasutatakse aastaringselt sh hulgas püügivõimalused:</w:t>
            </w:r>
          </w:p>
          <w:p w14:paraId="4A225A0B"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Püük Nasva jõel</w:t>
            </w:r>
          </w:p>
          <w:p w14:paraId="22E5368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Püük Läänemerel</w:t>
            </w:r>
          </w:p>
          <w:p w14:paraId="4E6AC844"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Püük Mullutu lahel</w:t>
            </w:r>
          </w:p>
        </w:tc>
      </w:tr>
      <w:tr w:rsidR="008312AA" w14:paraId="02C5972D"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7EC0218D"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Püügiperioodi pikkus</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2BD418BB"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12 kuud, 01.01 – 31.12</w:t>
            </w:r>
          </w:p>
        </w:tc>
      </w:tr>
      <w:tr w:rsidR="008312AA" w14:paraId="086B77DA"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714559A2"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Omanikud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0C8C9637"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xml:space="preserve">MTÜ Nasva Jõesadama Ühingu liikmed </w:t>
            </w:r>
          </w:p>
        </w:tc>
      </w:tr>
      <w:tr w:rsidR="008312AA" w14:paraId="3A2BE799"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1DE19EB2"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kasutavate kutseliste kalurite arv</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7391C47D"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15</w:t>
            </w:r>
          </w:p>
        </w:tc>
      </w:tr>
      <w:tr w:rsidR="008312AA" w14:paraId="45BD0BF8"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4160998C"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kasutavate harrastuskalurite arv</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31EF55D8"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70</w:t>
            </w:r>
          </w:p>
        </w:tc>
      </w:tr>
      <w:tr w:rsidR="008312AA" w14:paraId="39548DE1"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00811465"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kasutavate muude isikute arv ja mis eesmärgil sadamat kasutatakse (muud teenused sadamas)</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72F81E5C" w14:textId="77777777" w:rsidR="008312AA" w:rsidRDefault="00000000">
            <w:pPr>
              <w:spacing w:after="0"/>
              <w:ind w:right="57"/>
              <w:jc w:val="left"/>
              <w:rPr>
                <w:rFonts w:ascii="Times New Roman" w:eastAsia="Calibri" w:hAnsi="Times New Roman" w:cs="Times New Roman"/>
              </w:rPr>
            </w:pPr>
            <w:proofErr w:type="spellStart"/>
            <w:r>
              <w:rPr>
                <w:rFonts w:ascii="Times New Roman" w:eastAsia="Calibri" w:hAnsi="Times New Roman" w:cs="Times New Roman"/>
              </w:rPr>
              <w:t>Harrrastuspüük</w:t>
            </w:r>
            <w:proofErr w:type="spellEnd"/>
            <w:r>
              <w:rPr>
                <w:rFonts w:ascii="Times New Roman" w:eastAsia="Calibri" w:hAnsi="Times New Roman" w:cs="Times New Roman"/>
              </w:rPr>
              <w:t xml:space="preserve"> õngega kevadisel ajal kuni 200 inimest.</w:t>
            </w:r>
          </w:p>
          <w:p w14:paraId="33B1AE0E"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Kala vastalised kuni 200 inimest.</w:t>
            </w:r>
          </w:p>
          <w:p w14:paraId="426F0D0D" w14:textId="77777777" w:rsidR="008312AA" w:rsidRDefault="008312AA">
            <w:pPr>
              <w:spacing w:after="0"/>
              <w:ind w:right="57"/>
              <w:jc w:val="left"/>
              <w:rPr>
                <w:rFonts w:ascii="Times New Roman" w:eastAsia="Calibri" w:hAnsi="Times New Roman" w:cs="Times New Roman"/>
              </w:rPr>
            </w:pPr>
          </w:p>
        </w:tc>
      </w:tr>
      <w:tr w:rsidR="008312AA" w14:paraId="40F31DEC"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7BD3C8A0"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kasutavad kalapaadid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06C4A4CE"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SMA-099, SMA-072, SMA-079, SMA-028, SMA-069, SMA-047, SMA-049, SMA-092, SMA-096, SMA-043, SMA-017, SMA-058, VLB-603, VLS-822, VLK-422, VKB-794, VLV-388, PSA-365, SSA-052</w:t>
            </w:r>
          </w:p>
        </w:tc>
      </w:tr>
      <w:tr w:rsidR="008312AA" w14:paraId="73686473"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49CFAB38"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Sadamat kasutavate harrastajate paadid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3EE85DE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Hooajaliselt muutuv.</w:t>
            </w:r>
          </w:p>
        </w:tc>
      </w:tr>
      <w:tr w:rsidR="008312AA" w14:paraId="4B7EEBDC"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06E28CB0"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Kaluri kalapüügiloaga lossimised viimased neli aastat</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3C3BE79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2019-257,452 t</w:t>
            </w:r>
          </w:p>
          <w:p w14:paraId="613194A1"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2020-140,31 t</w:t>
            </w:r>
          </w:p>
          <w:p w14:paraId="461FC479"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2021-119,860 t</w:t>
            </w:r>
          </w:p>
          <w:p w14:paraId="4BC12395"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2022-133,732 t</w:t>
            </w:r>
          </w:p>
        </w:tc>
      </w:tr>
      <w:tr w:rsidR="008312AA" w14:paraId="7A5E4718"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5F2B43DE"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Looduslikud tingimused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19D77989"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Looduslikud tingimused on soodsad</w:t>
            </w:r>
          </w:p>
        </w:tc>
      </w:tr>
      <w:tr w:rsidR="008312AA" w14:paraId="7590D28B"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0DDA6B1E"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Juurdepääsutee</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0F4C1A12"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Juurdepääs on avalikult teelt.</w:t>
            </w:r>
          </w:p>
        </w:tc>
      </w:tr>
      <w:tr w:rsidR="008312AA" w14:paraId="155094C0"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4FEA0C91"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Kas ja millised on sadamas kala hoiustamise- ja töötlemisvõimalused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60F0EA12"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Kala hoiustamis-ja töötlemistingimused puuduvad.</w:t>
            </w:r>
          </w:p>
        </w:tc>
      </w:tr>
      <w:tr w:rsidR="008312AA" w14:paraId="2E456CBB"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4F6745EB"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lastRenderedPageBreak/>
              <w:t>Mittekalapüügiga seotud tegevused ja täiendava tulu teenimise võimalused.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47F21CBD"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Tõsteteenus, paadi hoiustamisvõimalus, ürituste pidamine.</w:t>
            </w:r>
          </w:p>
        </w:tc>
      </w:tr>
      <w:tr w:rsidR="008312AA" w14:paraId="56A88CD9"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38691541"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Tehniline olukord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326137DB"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Tehniline olukord on puudulik.</w:t>
            </w:r>
          </w:p>
        </w:tc>
      </w:tr>
      <w:tr w:rsidR="008312AA" w14:paraId="52E35673"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1B3034D4"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Tehtud investeeringud</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2367743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 xml:space="preserve">Korrastatud kai, </w:t>
            </w:r>
            <w:proofErr w:type="spellStart"/>
            <w:r>
              <w:rPr>
                <w:rFonts w:ascii="Times New Roman" w:eastAsia="Calibri" w:hAnsi="Times New Roman" w:cs="Times New Roman"/>
              </w:rPr>
              <w:t>püünistekuur</w:t>
            </w:r>
            <w:proofErr w:type="spellEnd"/>
            <w:r>
              <w:rPr>
                <w:rFonts w:ascii="Times New Roman" w:eastAsia="Calibri" w:hAnsi="Times New Roman" w:cs="Times New Roman"/>
              </w:rPr>
              <w:t>, pumbajaam, teekate</w:t>
            </w:r>
          </w:p>
        </w:tc>
      </w:tr>
      <w:tr w:rsidR="008312AA" w14:paraId="59E9581C"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D9E2F3" w:themeFill="accent1" w:themeFillTint="33"/>
          </w:tcPr>
          <w:p w14:paraId="76785124"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Investeeringu plaanid ja vajadused</w:t>
            </w:r>
          </w:p>
        </w:tc>
        <w:tc>
          <w:tcPr>
            <w:tcW w:w="6298" w:type="dxa"/>
            <w:tcBorders>
              <w:top w:val="single" w:sz="8" w:space="0" w:color="FFFF00"/>
              <w:left w:val="single" w:sz="6" w:space="0" w:color="000000"/>
              <w:bottom w:val="single" w:sz="8" w:space="0" w:color="FFFF00"/>
              <w:right w:val="single" w:sz="8" w:space="0" w:color="FFFF00"/>
            </w:tcBorders>
            <w:shd w:val="clear" w:color="auto" w:fill="D9E2F3" w:themeFill="accent1" w:themeFillTint="33"/>
          </w:tcPr>
          <w:p w14:paraId="00CDCA58"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Prioriteet on korrastada rannahoone koos kommunikatsioonidega. Vajadus parandada kalurite olmetingimusi.</w:t>
            </w:r>
          </w:p>
          <w:p w14:paraId="71D8339C"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Lossimispoom- või tõstuk. Vajadus lihtsustada kala lossimist.</w:t>
            </w:r>
          </w:p>
          <w:p w14:paraId="0E40D6DF"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Valvesüsteem ja paigaldus.</w:t>
            </w:r>
          </w:p>
          <w:p w14:paraId="687FD6F1"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Tõkkepuu.</w:t>
            </w:r>
          </w:p>
          <w:p w14:paraId="0B65C2A8"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Lossimisseadmete parendamine.</w:t>
            </w:r>
          </w:p>
        </w:tc>
      </w:tr>
      <w:tr w:rsidR="008312AA" w14:paraId="2E0D89A7" w14:textId="77777777">
        <w:trPr>
          <w:trHeight w:val="1"/>
        </w:trPr>
        <w:tc>
          <w:tcPr>
            <w:tcW w:w="3340" w:type="dxa"/>
            <w:tcBorders>
              <w:top w:val="single" w:sz="8" w:space="0" w:color="FFFF00"/>
              <w:left w:val="single" w:sz="8" w:space="0" w:color="FFFF00"/>
              <w:bottom w:val="single" w:sz="8" w:space="0" w:color="FFFF00"/>
              <w:right w:val="single" w:sz="6" w:space="0" w:color="000000"/>
            </w:tcBorders>
            <w:shd w:val="clear" w:color="auto" w:fill="auto"/>
          </w:tcPr>
          <w:p w14:paraId="67E60309"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Prognoositav investeeringute maksumus</w:t>
            </w:r>
          </w:p>
        </w:tc>
        <w:tc>
          <w:tcPr>
            <w:tcW w:w="6298" w:type="dxa"/>
            <w:tcBorders>
              <w:top w:val="single" w:sz="8" w:space="0" w:color="FFFF00"/>
              <w:left w:val="single" w:sz="6" w:space="0" w:color="000000"/>
              <w:bottom w:val="single" w:sz="8" w:space="0" w:color="FFFF00"/>
              <w:right w:val="single" w:sz="8" w:space="0" w:color="FFFF00"/>
            </w:tcBorders>
            <w:shd w:val="clear" w:color="auto" w:fill="auto"/>
          </w:tcPr>
          <w:p w14:paraId="7E0F5A71" w14:textId="77777777" w:rsidR="008312AA" w:rsidRDefault="00000000">
            <w:pPr>
              <w:spacing w:after="0"/>
              <w:ind w:right="57"/>
              <w:jc w:val="left"/>
              <w:rPr>
                <w:rFonts w:ascii="Times New Roman" w:eastAsia="Calibri" w:hAnsi="Times New Roman" w:cs="Times New Roman"/>
              </w:rPr>
            </w:pPr>
            <w:r>
              <w:rPr>
                <w:rFonts w:ascii="Times New Roman" w:eastAsia="Calibri" w:hAnsi="Times New Roman" w:cs="Times New Roman"/>
              </w:rPr>
              <w:t>400 000</w:t>
            </w:r>
          </w:p>
        </w:tc>
      </w:tr>
      <w:tr w:rsidR="008312AA" w14:paraId="48187A00" w14:textId="77777777">
        <w:trPr>
          <w:trHeight w:val="1"/>
        </w:trPr>
        <w:tc>
          <w:tcPr>
            <w:tcW w:w="3340" w:type="dxa"/>
            <w:tcBorders>
              <w:top w:val="single" w:sz="6" w:space="0" w:color="000000"/>
              <w:left w:val="single" w:sz="8" w:space="0" w:color="FFFF00"/>
              <w:bottom w:val="single" w:sz="8" w:space="0" w:color="FFFF00"/>
              <w:right w:val="single" w:sz="6" w:space="0" w:color="000000"/>
            </w:tcBorders>
            <w:shd w:val="clear" w:color="auto" w:fill="D9E2F3" w:themeFill="accent1" w:themeFillTint="33"/>
          </w:tcPr>
          <w:p w14:paraId="58669506"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b/>
              </w:rPr>
              <w:t>Valiku põhjendus</w:t>
            </w:r>
          </w:p>
        </w:tc>
        <w:tc>
          <w:tcPr>
            <w:tcW w:w="6298" w:type="dxa"/>
            <w:tcBorders>
              <w:top w:val="single" w:sz="6" w:space="0" w:color="000000"/>
              <w:left w:val="single" w:sz="6" w:space="0" w:color="000000"/>
              <w:bottom w:val="single" w:sz="8" w:space="0" w:color="FFFF00"/>
              <w:right w:val="single" w:sz="8" w:space="0" w:color="FFFF00"/>
            </w:tcBorders>
            <w:shd w:val="clear" w:color="auto" w:fill="D9E2F3" w:themeFill="accent1" w:themeFillTint="33"/>
          </w:tcPr>
          <w:p w14:paraId="726FDA59" w14:textId="77777777" w:rsidR="008312AA" w:rsidRDefault="00000000">
            <w:pPr>
              <w:spacing w:after="0"/>
              <w:ind w:right="57"/>
              <w:jc w:val="left"/>
              <w:rPr>
                <w:rFonts w:ascii="Times New Roman" w:hAnsi="Times New Roman" w:cs="Times New Roman"/>
              </w:rPr>
            </w:pPr>
            <w:r>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Pr>
                <w:rFonts w:ascii="Times New Roman" w:hAnsi="Times New Roman" w:cs="Times New Roman"/>
              </w:rPr>
              <w:t>Saaremaa kalanduspiirkonna üldistest kalasaakidest tulenevalt peab toetust saavate kalasadamate lossimiskogus aastas olema vähemalt 5 tonni.</w:t>
            </w:r>
          </w:p>
        </w:tc>
      </w:tr>
    </w:tbl>
    <w:p w14:paraId="6E0D1A9A" w14:textId="77777777" w:rsidR="008312AA" w:rsidRDefault="008312AA">
      <w:pPr>
        <w:spacing w:after="0"/>
        <w:ind w:right="57"/>
        <w:jc w:val="left"/>
        <w:rPr>
          <w:rFonts w:ascii="Times New Roman" w:eastAsia="Times New Roman" w:hAnsi="Times New Roman" w:cs="Times New Roman"/>
        </w:rPr>
      </w:pPr>
    </w:p>
    <w:tbl>
      <w:tblPr>
        <w:tblW w:w="9616" w:type="dxa"/>
        <w:tblInd w:w="-11" w:type="dxa"/>
        <w:tblLayout w:type="fixed"/>
        <w:tblLook w:val="0000" w:firstRow="0" w:lastRow="0" w:firstColumn="0" w:lastColumn="0" w:noHBand="0" w:noVBand="0"/>
      </w:tblPr>
      <w:tblGrid>
        <w:gridCol w:w="3402"/>
        <w:gridCol w:w="6214"/>
      </w:tblGrid>
      <w:tr w:rsidR="008312AA" w14:paraId="0654002B"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7C28687" w14:textId="77777777" w:rsidR="008312AA" w:rsidRDefault="00000000">
            <w:pPr>
              <w:jc w:val="left"/>
              <w:rPr>
                <w:rFonts w:ascii="Times New Roman" w:eastAsia="Times New Roman" w:hAnsi="Times New Roman" w:cs="Times New Roman"/>
                <w:b/>
                <w:bCs/>
                <w:shd w:val="clear" w:color="auto" w:fill="FFFF00"/>
              </w:rPr>
            </w:pPr>
            <w:r>
              <w:rPr>
                <w:rFonts w:ascii="Times New Roman" w:eastAsia="Times New Roman" w:hAnsi="Times New Roman" w:cs="Times New Roman"/>
                <w:b/>
                <w:bCs/>
                <w:highlight w:val="cyan"/>
                <w:shd w:val="clear" w:color="auto" w:fill="FFFF00"/>
              </w:rPr>
              <w:t>Sadam</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CAF90D4" w14:textId="77777777" w:rsidR="008312AA" w:rsidRDefault="00000000">
            <w:pPr>
              <w:jc w:val="left"/>
              <w:rPr>
                <w:rFonts w:ascii="Times New Roman" w:hAnsi="Times New Roman" w:cs="Times New Roman"/>
              </w:rPr>
            </w:pPr>
            <w:proofErr w:type="spellStart"/>
            <w:r>
              <w:rPr>
                <w:rFonts w:ascii="Times New Roman" w:eastAsia="Times New Roman" w:hAnsi="Times New Roman" w:cs="Times New Roman"/>
                <w:b/>
                <w:bCs/>
                <w:highlight w:val="cyan"/>
                <w:shd w:val="clear" w:color="auto" w:fill="FFFF00"/>
              </w:rPr>
              <w:t>Muratsi</w:t>
            </w:r>
            <w:proofErr w:type="spellEnd"/>
            <w:r>
              <w:rPr>
                <w:rFonts w:ascii="Times New Roman" w:eastAsia="Times New Roman" w:hAnsi="Times New Roman" w:cs="Times New Roman"/>
                <w:b/>
                <w:bCs/>
                <w:highlight w:val="cyan"/>
                <w:shd w:val="clear" w:color="auto" w:fill="FFFF00"/>
              </w:rPr>
              <w:t xml:space="preserve"> sadam</w:t>
            </w:r>
          </w:p>
        </w:tc>
      </w:tr>
      <w:tr w:rsidR="008312AA" w14:paraId="5BF6C2BA" w14:textId="77777777">
        <w:tc>
          <w:tcPr>
            <w:tcW w:w="3402" w:type="dxa"/>
            <w:tcBorders>
              <w:top w:val="single" w:sz="8" w:space="0" w:color="FFFF00"/>
              <w:left w:val="single" w:sz="8" w:space="0" w:color="FFFF00"/>
              <w:bottom w:val="single" w:sz="8" w:space="0" w:color="FFFF00"/>
            </w:tcBorders>
            <w:shd w:val="clear" w:color="auto" w:fill="auto"/>
          </w:tcPr>
          <w:p w14:paraId="5F971B5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Asukoht</w:t>
            </w:r>
          </w:p>
        </w:tc>
        <w:tc>
          <w:tcPr>
            <w:tcW w:w="6213" w:type="dxa"/>
            <w:tcBorders>
              <w:top w:val="single" w:sz="8" w:space="0" w:color="FFFF00"/>
              <w:bottom w:val="single" w:sz="8" w:space="0" w:color="FFFF00"/>
              <w:right w:val="single" w:sz="8" w:space="0" w:color="FFFF00"/>
            </w:tcBorders>
            <w:shd w:val="clear" w:color="auto" w:fill="auto"/>
          </w:tcPr>
          <w:p w14:paraId="43015291" w14:textId="77777777" w:rsidR="008312AA" w:rsidRDefault="00000000">
            <w:pPr>
              <w:jc w:val="left"/>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t xml:space="preserve">Saare maakond, Saaremaa vald, </w:t>
            </w:r>
            <w:proofErr w:type="spellStart"/>
            <w:r>
              <w:rPr>
                <w:rFonts w:ascii="Times New Roman" w:hAnsi="Times New Roman" w:cs="Times New Roman"/>
                <w:color w:val="212529"/>
                <w:shd w:val="clear" w:color="auto" w:fill="FFFFFF"/>
              </w:rPr>
              <w:t>Muratsi</w:t>
            </w:r>
            <w:proofErr w:type="spellEnd"/>
            <w:r>
              <w:rPr>
                <w:rFonts w:ascii="Times New Roman" w:hAnsi="Times New Roman" w:cs="Times New Roman"/>
                <w:color w:val="212529"/>
                <w:shd w:val="clear" w:color="auto" w:fill="FFFFFF"/>
              </w:rPr>
              <w:t xml:space="preserve"> küla, </w:t>
            </w:r>
            <w:proofErr w:type="spellStart"/>
            <w:r>
              <w:rPr>
                <w:rFonts w:ascii="Times New Roman" w:hAnsi="Times New Roman" w:cs="Times New Roman"/>
                <w:color w:val="212529"/>
                <w:shd w:val="clear" w:color="auto" w:fill="FFFFFF"/>
              </w:rPr>
              <w:t>Muratsi</w:t>
            </w:r>
            <w:proofErr w:type="spellEnd"/>
            <w:r>
              <w:rPr>
                <w:rFonts w:ascii="Times New Roman" w:hAnsi="Times New Roman" w:cs="Times New Roman"/>
                <w:color w:val="212529"/>
                <w:shd w:val="clear" w:color="auto" w:fill="FFFFFF"/>
              </w:rPr>
              <w:t xml:space="preserve"> sadam, 93859, katastriüksuse tunnus: 27003:003:0674</w:t>
            </w:r>
          </w:p>
          <w:p w14:paraId="24C95CB8" w14:textId="77777777" w:rsidR="008312AA" w:rsidRDefault="00000000">
            <w:pPr>
              <w:jc w:val="left"/>
              <w:rPr>
                <w:rFonts w:ascii="Times New Roman" w:hAnsi="Times New Roman" w:cs="Times New Roman"/>
              </w:rPr>
            </w:pPr>
            <w:r>
              <w:rPr>
                <w:rFonts w:ascii="Times New Roman" w:hAnsi="Times New Roman" w:cs="Times New Roman"/>
                <w:color w:val="212529"/>
                <w:shd w:val="clear" w:color="auto" w:fill="FFFFFF"/>
              </w:rPr>
              <w:t xml:space="preserve">Sadamaregistri link: </w:t>
            </w:r>
            <w:hyperlink r:id="rId110">
              <w:r>
                <w:rPr>
                  <w:rStyle w:val="Hperlink"/>
                  <w:rFonts w:ascii="Times New Roman" w:hAnsi="Times New Roman" w:cs="Times New Roman"/>
                  <w:shd w:val="clear" w:color="auto" w:fill="FFFFFF"/>
                </w:rPr>
                <w:t>https://www.sadamaregister.ee/sadam/2201</w:t>
              </w:r>
            </w:hyperlink>
            <w:r>
              <w:rPr>
                <w:rFonts w:ascii="Times New Roman" w:hAnsi="Times New Roman" w:cs="Times New Roman"/>
                <w:color w:val="212529"/>
                <w:shd w:val="clear" w:color="auto" w:fill="FFFFFF"/>
              </w:rPr>
              <w:t xml:space="preserve"> </w:t>
            </w:r>
          </w:p>
        </w:tc>
      </w:tr>
      <w:tr w:rsidR="008312AA" w14:paraId="012D639D"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499492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Kaide äärne sügavus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2797AF50" w14:textId="77777777" w:rsidR="008312AA" w:rsidRDefault="00000000">
            <w:pPr>
              <w:jc w:val="left"/>
              <w:rPr>
                <w:rFonts w:ascii="Times New Roman" w:hAnsi="Times New Roman" w:cs="Times New Roman"/>
                <w:color w:val="FF0000"/>
              </w:rPr>
            </w:pPr>
            <w:r>
              <w:rPr>
                <w:rFonts w:ascii="Times New Roman" w:hAnsi="Times New Roman" w:cs="Times New Roman"/>
              </w:rPr>
              <w:t>1,3 – 1,8 m</w:t>
            </w:r>
          </w:p>
        </w:tc>
      </w:tr>
      <w:tr w:rsidR="008312AA" w14:paraId="5F277F8B" w14:textId="77777777">
        <w:trPr>
          <w:trHeight w:val="317"/>
        </w:trPr>
        <w:tc>
          <w:tcPr>
            <w:tcW w:w="3402" w:type="dxa"/>
            <w:tcBorders>
              <w:top w:val="single" w:sz="8" w:space="0" w:color="FFFF00"/>
              <w:left w:val="single" w:sz="8" w:space="0" w:color="FFFF00"/>
              <w:bottom w:val="single" w:sz="8" w:space="0" w:color="FFFF00"/>
            </w:tcBorders>
            <w:shd w:val="clear" w:color="auto" w:fill="auto"/>
          </w:tcPr>
          <w:p w14:paraId="45531F7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Akvatooriumi suurus</w:t>
            </w:r>
          </w:p>
        </w:tc>
        <w:tc>
          <w:tcPr>
            <w:tcW w:w="6213" w:type="dxa"/>
            <w:tcBorders>
              <w:top w:val="single" w:sz="8" w:space="0" w:color="FFFF00"/>
              <w:bottom w:val="single" w:sz="8" w:space="0" w:color="FFFF00"/>
              <w:right w:val="single" w:sz="8" w:space="0" w:color="FFFF00"/>
            </w:tcBorders>
            <w:shd w:val="clear" w:color="auto" w:fill="auto"/>
          </w:tcPr>
          <w:p w14:paraId="20EA7F6F" w14:textId="77777777" w:rsidR="008312AA" w:rsidRDefault="00000000">
            <w:pPr>
              <w:jc w:val="left"/>
              <w:rPr>
                <w:rFonts w:ascii="Times New Roman" w:hAnsi="Times New Roman" w:cs="Times New Roman"/>
                <w:color w:val="FF0000"/>
              </w:rPr>
            </w:pPr>
            <w:r>
              <w:rPr>
                <w:rFonts w:ascii="Times New Roman" w:hAnsi="Times New Roman" w:cs="Times New Roman"/>
              </w:rPr>
              <w:t>2000 m</w:t>
            </w:r>
            <w:r>
              <w:rPr>
                <w:rFonts w:ascii="Times New Roman" w:hAnsi="Times New Roman" w:cs="Times New Roman"/>
                <w:vertAlign w:val="superscript"/>
              </w:rPr>
              <w:t xml:space="preserve">2 </w:t>
            </w:r>
          </w:p>
        </w:tc>
      </w:tr>
      <w:tr w:rsidR="008312AA" w14:paraId="3DD42045"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954D682"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 territooriumi suurus</w:t>
            </w:r>
          </w:p>
          <w:p w14:paraId="16B5F8FE"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(pindala)</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E1DF1DA" w14:textId="77777777" w:rsidR="008312AA" w:rsidRDefault="00000000">
            <w:pPr>
              <w:jc w:val="left"/>
              <w:rPr>
                <w:rFonts w:ascii="Times New Roman" w:hAnsi="Times New Roman" w:cs="Times New Roman"/>
                <w:color w:val="FF0000"/>
              </w:rPr>
            </w:pPr>
            <w:r>
              <w:rPr>
                <w:rFonts w:ascii="Times New Roman" w:hAnsi="Times New Roman" w:cs="Times New Roman"/>
              </w:rPr>
              <w:t>6441,7 m</w:t>
            </w:r>
            <w:r>
              <w:rPr>
                <w:rFonts w:ascii="Times New Roman" w:hAnsi="Times New Roman" w:cs="Times New Roman"/>
                <w:vertAlign w:val="superscript"/>
              </w:rPr>
              <w:t>2</w:t>
            </w:r>
          </w:p>
        </w:tc>
      </w:tr>
      <w:tr w:rsidR="008312AA" w14:paraId="7577244C" w14:textId="77777777">
        <w:tc>
          <w:tcPr>
            <w:tcW w:w="3402" w:type="dxa"/>
            <w:tcBorders>
              <w:top w:val="single" w:sz="8" w:space="0" w:color="FFFF00"/>
              <w:left w:val="single" w:sz="8" w:space="0" w:color="FFFF00"/>
              <w:bottom w:val="single" w:sz="8" w:space="0" w:color="FFFF00"/>
            </w:tcBorders>
            <w:shd w:val="clear" w:color="auto" w:fill="auto"/>
          </w:tcPr>
          <w:p w14:paraId="0DE6DC5F"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Sadamat kasutava laevastiku kirjeldus (segmendid)</w:t>
            </w:r>
          </w:p>
        </w:tc>
        <w:tc>
          <w:tcPr>
            <w:tcW w:w="6213" w:type="dxa"/>
            <w:tcBorders>
              <w:top w:val="single" w:sz="8" w:space="0" w:color="FFFF00"/>
              <w:bottom w:val="single" w:sz="8" w:space="0" w:color="FFFF00"/>
              <w:right w:val="single" w:sz="8" w:space="0" w:color="FFFF00"/>
            </w:tcBorders>
            <w:shd w:val="clear" w:color="auto" w:fill="auto"/>
          </w:tcPr>
          <w:p w14:paraId="6CA0F22A" w14:textId="77777777" w:rsidR="008312AA" w:rsidRDefault="00000000">
            <w:pPr>
              <w:jc w:val="left"/>
              <w:rPr>
                <w:rFonts w:ascii="Times New Roman" w:hAnsi="Times New Roman" w:cs="Times New Roman"/>
                <w:color w:val="FF0000"/>
              </w:rPr>
            </w:pPr>
            <w:r>
              <w:rPr>
                <w:rFonts w:ascii="Times New Roman" w:hAnsi="Times New Roman" w:cs="Times New Roman"/>
              </w:rPr>
              <w:t>Väikepaadid 4S1</w:t>
            </w:r>
          </w:p>
        </w:tc>
      </w:tr>
      <w:tr w:rsidR="008312AA" w14:paraId="44D36C33"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6B87F4D"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Sadamapidaja kontaktid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EF8AB61" w14:textId="77777777" w:rsidR="008312AA" w:rsidRDefault="00000000">
            <w:pPr>
              <w:jc w:val="left"/>
              <w:rPr>
                <w:rFonts w:ascii="Times New Roman" w:hAnsi="Times New Roman" w:cs="Times New Roman"/>
              </w:rPr>
            </w:pPr>
            <w:r>
              <w:rPr>
                <w:rFonts w:ascii="Times New Roman" w:hAnsi="Times New Roman" w:cs="Times New Roman"/>
              </w:rPr>
              <w:t xml:space="preserve">MTÜ </w:t>
            </w:r>
            <w:proofErr w:type="spellStart"/>
            <w:r>
              <w:rPr>
                <w:rFonts w:ascii="Times New Roman" w:hAnsi="Times New Roman" w:cs="Times New Roman"/>
              </w:rPr>
              <w:t>Muratsi</w:t>
            </w:r>
            <w:proofErr w:type="spellEnd"/>
            <w:r>
              <w:rPr>
                <w:rFonts w:ascii="Times New Roman" w:hAnsi="Times New Roman" w:cs="Times New Roman"/>
              </w:rPr>
              <w:t xml:space="preserve"> Kalur (80413704), Siim Hiie, </w:t>
            </w:r>
            <w:hyperlink r:id="rId111">
              <w:r>
                <w:rPr>
                  <w:rStyle w:val="Hperlink"/>
                  <w:rFonts w:ascii="Times New Roman" w:hAnsi="Times New Roman" w:cs="Times New Roman"/>
                </w:rPr>
                <w:t>sadam@muratsi.ee</w:t>
              </w:r>
            </w:hyperlink>
            <w:r>
              <w:rPr>
                <w:rFonts w:ascii="Times New Roman" w:hAnsi="Times New Roman" w:cs="Times New Roman"/>
              </w:rPr>
              <w:t>, +372 5397 4722, www.muratsi.ee</w:t>
            </w:r>
          </w:p>
        </w:tc>
      </w:tr>
      <w:tr w:rsidR="008312AA" w14:paraId="4F5EEADB" w14:textId="77777777">
        <w:tc>
          <w:tcPr>
            <w:tcW w:w="3402" w:type="dxa"/>
            <w:tcBorders>
              <w:top w:val="single" w:sz="8" w:space="0" w:color="FFFF00"/>
              <w:left w:val="single" w:sz="8" w:space="0" w:color="FFFF00"/>
              <w:bottom w:val="single" w:sz="8" w:space="0" w:color="FFFF00"/>
            </w:tcBorders>
            <w:shd w:val="clear" w:color="auto" w:fill="auto"/>
          </w:tcPr>
          <w:p w14:paraId="7DEAB0B2"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Milline on sadama kasutusaktiivsus sh püügivõimalused</w:t>
            </w:r>
          </w:p>
        </w:tc>
        <w:tc>
          <w:tcPr>
            <w:tcW w:w="6213" w:type="dxa"/>
            <w:tcBorders>
              <w:top w:val="single" w:sz="8" w:space="0" w:color="FFFF00"/>
              <w:bottom w:val="single" w:sz="8" w:space="0" w:color="FFFF00"/>
              <w:right w:val="single" w:sz="8" w:space="0" w:color="FFFF00"/>
            </w:tcBorders>
            <w:shd w:val="clear" w:color="auto" w:fill="auto"/>
          </w:tcPr>
          <w:p w14:paraId="2F89AA81" w14:textId="77777777" w:rsidR="008312AA" w:rsidRDefault="00000000">
            <w:pPr>
              <w:jc w:val="left"/>
              <w:rPr>
                <w:rFonts w:ascii="Times New Roman" w:hAnsi="Times New Roman" w:cs="Times New Roman"/>
              </w:rPr>
            </w:pPr>
            <w:r>
              <w:rPr>
                <w:rFonts w:ascii="Times New Roman" w:hAnsi="Times New Roman" w:cs="Times New Roman"/>
              </w:rPr>
              <w:t>Sadam on aktiivses kasutuses kogu jäävaba perioodi</w:t>
            </w:r>
          </w:p>
        </w:tc>
      </w:tr>
      <w:tr w:rsidR="008312AA" w14:paraId="62301F4C"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764C527"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Püügiperioodi pikkus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FEC2ABB" w14:textId="77777777" w:rsidR="008312AA" w:rsidRDefault="00000000">
            <w:pPr>
              <w:jc w:val="left"/>
              <w:rPr>
                <w:rFonts w:ascii="Times New Roman" w:hAnsi="Times New Roman" w:cs="Times New Roman"/>
              </w:rPr>
            </w:pPr>
            <w:r>
              <w:rPr>
                <w:rFonts w:ascii="Times New Roman" w:hAnsi="Times New Roman" w:cs="Times New Roman"/>
              </w:rPr>
              <w:t>8 kuud  - 01.03. – 31.10</w:t>
            </w:r>
          </w:p>
        </w:tc>
      </w:tr>
      <w:tr w:rsidR="008312AA" w14:paraId="0CDC3DC8" w14:textId="77777777">
        <w:tc>
          <w:tcPr>
            <w:tcW w:w="3402" w:type="dxa"/>
            <w:tcBorders>
              <w:top w:val="single" w:sz="8" w:space="0" w:color="FFFF00"/>
              <w:left w:val="single" w:sz="8" w:space="0" w:color="FFFF00"/>
              <w:bottom w:val="single" w:sz="8" w:space="0" w:color="FFFF00"/>
            </w:tcBorders>
            <w:shd w:val="clear" w:color="auto" w:fill="auto"/>
          </w:tcPr>
          <w:p w14:paraId="6B2D9EDE" w14:textId="77777777" w:rsidR="008312AA" w:rsidRDefault="00000000">
            <w:pPr>
              <w:jc w:val="left"/>
              <w:rPr>
                <w:rFonts w:ascii="Times New Roman" w:hAnsi="Times New Roman" w:cs="Times New Roman"/>
              </w:rPr>
            </w:pPr>
            <w:r>
              <w:rPr>
                <w:rFonts w:ascii="Times New Roman" w:eastAsia="Times New Roman" w:hAnsi="Times New Roman" w:cs="Times New Roman"/>
                <w:b/>
                <w:bCs/>
              </w:rPr>
              <w:t>Omanikud</w:t>
            </w:r>
          </w:p>
        </w:tc>
        <w:tc>
          <w:tcPr>
            <w:tcW w:w="6213" w:type="dxa"/>
            <w:tcBorders>
              <w:top w:val="single" w:sz="8" w:space="0" w:color="FFFF00"/>
              <w:bottom w:val="single" w:sz="8" w:space="0" w:color="FFFF00"/>
              <w:right w:val="single" w:sz="8" w:space="0" w:color="FFFF00"/>
            </w:tcBorders>
            <w:shd w:val="clear" w:color="auto" w:fill="auto"/>
          </w:tcPr>
          <w:p w14:paraId="503498F1" w14:textId="77777777" w:rsidR="008312AA" w:rsidRDefault="00000000">
            <w:pPr>
              <w:jc w:val="left"/>
              <w:rPr>
                <w:rFonts w:ascii="Times New Roman" w:hAnsi="Times New Roman" w:cs="Times New Roman"/>
              </w:rPr>
            </w:pPr>
            <w:r>
              <w:rPr>
                <w:rFonts w:ascii="Times New Roman" w:hAnsi="Times New Roman" w:cs="Times New Roman"/>
              </w:rPr>
              <w:t>Saaremaa vald</w:t>
            </w:r>
          </w:p>
        </w:tc>
      </w:tr>
      <w:tr w:rsidR="008312AA" w14:paraId="54286F8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83AC82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kutseliste kalurite arv</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21E0167" w14:textId="77777777" w:rsidR="008312AA" w:rsidRDefault="00000000">
            <w:pPr>
              <w:jc w:val="left"/>
              <w:rPr>
                <w:rFonts w:ascii="Times New Roman" w:hAnsi="Times New Roman" w:cs="Times New Roman"/>
              </w:rPr>
            </w:pPr>
            <w:r>
              <w:rPr>
                <w:rFonts w:ascii="Times New Roman" w:hAnsi="Times New Roman" w:cs="Times New Roman"/>
              </w:rPr>
              <w:t>3</w:t>
            </w:r>
          </w:p>
        </w:tc>
      </w:tr>
      <w:tr w:rsidR="008312AA" w14:paraId="7917CF2A" w14:textId="77777777">
        <w:tc>
          <w:tcPr>
            <w:tcW w:w="3402" w:type="dxa"/>
            <w:tcBorders>
              <w:top w:val="single" w:sz="8" w:space="0" w:color="FFFF00"/>
              <w:left w:val="single" w:sz="8" w:space="0" w:color="FFFF00"/>
              <w:bottom w:val="single" w:sz="8" w:space="0" w:color="FFFF00"/>
            </w:tcBorders>
            <w:shd w:val="clear" w:color="auto" w:fill="auto"/>
          </w:tcPr>
          <w:p w14:paraId="2E4CA20F"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Sadamat kasutavate harrastuskalurite arv</w:t>
            </w:r>
          </w:p>
        </w:tc>
        <w:tc>
          <w:tcPr>
            <w:tcW w:w="6213" w:type="dxa"/>
            <w:tcBorders>
              <w:top w:val="single" w:sz="8" w:space="0" w:color="FFFF00"/>
              <w:bottom w:val="single" w:sz="8" w:space="0" w:color="FFFF00"/>
              <w:right w:val="single" w:sz="8" w:space="0" w:color="FFFF00"/>
            </w:tcBorders>
            <w:shd w:val="clear" w:color="auto" w:fill="auto"/>
          </w:tcPr>
          <w:p w14:paraId="4CF1F383" w14:textId="77777777" w:rsidR="008312AA" w:rsidRDefault="00000000">
            <w:pPr>
              <w:jc w:val="left"/>
              <w:rPr>
                <w:rFonts w:ascii="Times New Roman" w:hAnsi="Times New Roman" w:cs="Times New Roman"/>
              </w:rPr>
            </w:pPr>
            <w:r>
              <w:rPr>
                <w:rFonts w:ascii="Times New Roman" w:hAnsi="Times New Roman" w:cs="Times New Roman"/>
              </w:rPr>
              <w:t>50+</w:t>
            </w:r>
          </w:p>
        </w:tc>
      </w:tr>
      <w:tr w:rsidR="008312AA" w14:paraId="5CE13A38"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17371A6" w14:textId="77777777" w:rsidR="008312AA" w:rsidRDefault="00000000">
            <w:pPr>
              <w:jc w:val="left"/>
              <w:rPr>
                <w:rFonts w:ascii="Times New Roman" w:eastAsia="Times New Roman" w:hAnsi="Times New Roman" w:cs="Times New Roman"/>
                <w:b/>
                <w:bCs/>
              </w:rPr>
            </w:pPr>
            <w:r>
              <w:rPr>
                <w:rFonts w:ascii="Times New Roman" w:hAnsi="Times New Roman" w:cs="Times New Roman"/>
                <w:b/>
                <w:bCs/>
              </w:rPr>
              <w:lastRenderedPageBreak/>
              <w:t>Sadamat kasutavate muude isikute arv ja mis eesmärgil sadamat kasutatakse (muud teenused sadamas)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4DBBCA7" w14:textId="77777777" w:rsidR="008312AA" w:rsidRDefault="00000000">
            <w:pPr>
              <w:jc w:val="left"/>
              <w:rPr>
                <w:rFonts w:ascii="Times New Roman" w:hAnsi="Times New Roman" w:cs="Times New Roman"/>
              </w:rPr>
            </w:pPr>
            <w:r>
              <w:rPr>
                <w:rFonts w:ascii="Times New Roman" w:hAnsi="Times New Roman" w:cs="Times New Roman"/>
              </w:rPr>
              <w:t xml:space="preserve">350 + isikut kuus. Sadama alal on toimiv mänguväljak ja liivarand, mida kasutab nii külarahvas kui ka </w:t>
            </w:r>
            <w:proofErr w:type="spellStart"/>
            <w:r>
              <w:rPr>
                <w:rFonts w:ascii="Times New Roman" w:hAnsi="Times New Roman" w:cs="Times New Roman"/>
              </w:rPr>
              <w:t>lähipiirkonna</w:t>
            </w:r>
            <w:proofErr w:type="spellEnd"/>
            <w:r>
              <w:rPr>
                <w:rFonts w:ascii="Times New Roman" w:hAnsi="Times New Roman" w:cs="Times New Roman"/>
              </w:rPr>
              <w:t xml:space="preserve"> inimesed aktiivselt. Suviti on palju turiste ning ka karavanidega pered. Pooleli on sadamahoone ehitus, kus tuleb kohviku osa ning WC/pesemis võimalusega. Kaluritel on eraldatud boksid varustuse hoidmiseks sadama alal.</w:t>
            </w:r>
          </w:p>
        </w:tc>
      </w:tr>
      <w:tr w:rsidR="008312AA" w14:paraId="340BFF3F" w14:textId="77777777">
        <w:tc>
          <w:tcPr>
            <w:tcW w:w="3402" w:type="dxa"/>
            <w:tcBorders>
              <w:top w:val="single" w:sz="8" w:space="0" w:color="FFFF00"/>
              <w:left w:val="single" w:sz="8" w:space="0" w:color="FFFF00"/>
              <w:bottom w:val="single" w:sz="8" w:space="0" w:color="FFFF00"/>
            </w:tcBorders>
            <w:shd w:val="clear" w:color="auto" w:fill="auto"/>
          </w:tcPr>
          <w:p w14:paraId="4783513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kasutavad kalapaadid</w:t>
            </w:r>
          </w:p>
        </w:tc>
        <w:tc>
          <w:tcPr>
            <w:tcW w:w="6213" w:type="dxa"/>
            <w:tcBorders>
              <w:top w:val="single" w:sz="8" w:space="0" w:color="FFFF00"/>
              <w:bottom w:val="single" w:sz="8" w:space="0" w:color="FFFF00"/>
              <w:right w:val="single" w:sz="8" w:space="0" w:color="FFFF00"/>
            </w:tcBorders>
            <w:shd w:val="clear" w:color="auto" w:fill="auto"/>
          </w:tcPr>
          <w:p w14:paraId="13D02AF0" w14:textId="77777777" w:rsidR="008312AA" w:rsidRDefault="00000000">
            <w:pPr>
              <w:jc w:val="left"/>
              <w:rPr>
                <w:rFonts w:ascii="Times New Roman" w:hAnsi="Times New Roman" w:cs="Times New Roman"/>
              </w:rPr>
            </w:pPr>
            <w:r>
              <w:rPr>
                <w:rFonts w:ascii="Times New Roman" w:hAnsi="Times New Roman" w:cs="Times New Roman"/>
              </w:rPr>
              <w:t>8 alust, kes tegelevad puhtalt kalapüügiga</w:t>
            </w:r>
          </w:p>
        </w:tc>
      </w:tr>
      <w:tr w:rsidR="008312AA" w14:paraId="30598F00"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B4BE75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harrastajate paadid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9F7753C" w14:textId="77777777" w:rsidR="008312AA" w:rsidRDefault="00000000">
            <w:pPr>
              <w:jc w:val="left"/>
              <w:rPr>
                <w:rFonts w:ascii="Times New Roman" w:hAnsi="Times New Roman" w:cs="Times New Roman"/>
              </w:rPr>
            </w:pPr>
            <w:r>
              <w:rPr>
                <w:rFonts w:ascii="Times New Roman" w:hAnsi="Times New Roman" w:cs="Times New Roman"/>
              </w:rPr>
              <w:t xml:space="preserve">10 alust. Meresõidud, hobikalandus ja teiste </w:t>
            </w:r>
            <w:proofErr w:type="spellStart"/>
            <w:r>
              <w:rPr>
                <w:rFonts w:ascii="Times New Roman" w:hAnsi="Times New Roman" w:cs="Times New Roman"/>
              </w:rPr>
              <w:t>lähisadamate</w:t>
            </w:r>
            <w:proofErr w:type="spellEnd"/>
            <w:r>
              <w:rPr>
                <w:rFonts w:ascii="Times New Roman" w:hAnsi="Times New Roman" w:cs="Times New Roman"/>
              </w:rPr>
              <w:t xml:space="preserve"> külastus nt. Abruka, Kuressaare jne.</w:t>
            </w:r>
          </w:p>
          <w:p w14:paraId="65595D34" w14:textId="77777777" w:rsidR="008312AA" w:rsidRDefault="008312AA">
            <w:pPr>
              <w:jc w:val="left"/>
              <w:rPr>
                <w:rFonts w:ascii="Times New Roman" w:hAnsi="Times New Roman" w:cs="Times New Roman"/>
              </w:rPr>
            </w:pPr>
          </w:p>
        </w:tc>
      </w:tr>
      <w:tr w:rsidR="008312AA" w14:paraId="0F27444B" w14:textId="77777777">
        <w:tc>
          <w:tcPr>
            <w:tcW w:w="3402" w:type="dxa"/>
            <w:tcBorders>
              <w:top w:val="single" w:sz="8" w:space="0" w:color="FFFF00"/>
              <w:left w:val="single" w:sz="8" w:space="0" w:color="FFFF00"/>
              <w:bottom w:val="single" w:sz="8" w:space="0" w:color="FFFF00"/>
            </w:tcBorders>
            <w:shd w:val="clear" w:color="auto" w:fill="auto"/>
          </w:tcPr>
          <w:p w14:paraId="76CFB72F"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Kaluri kalapüügiloaga lossimised viimased neli aastat</w:t>
            </w:r>
          </w:p>
        </w:tc>
        <w:tc>
          <w:tcPr>
            <w:tcW w:w="6213" w:type="dxa"/>
            <w:tcBorders>
              <w:top w:val="single" w:sz="8" w:space="0" w:color="FFFF00"/>
              <w:bottom w:val="single" w:sz="8" w:space="0" w:color="FFFF00"/>
              <w:right w:val="single" w:sz="8" w:space="0" w:color="FFFF00"/>
            </w:tcBorders>
            <w:shd w:val="clear" w:color="auto" w:fill="auto"/>
          </w:tcPr>
          <w:p w14:paraId="19B36B28" w14:textId="77777777" w:rsidR="008312AA" w:rsidRDefault="00000000">
            <w:pPr>
              <w:jc w:val="left"/>
              <w:rPr>
                <w:rFonts w:ascii="Times New Roman" w:hAnsi="Times New Roman" w:cs="Times New Roman"/>
              </w:rPr>
            </w:pPr>
            <w:r>
              <w:rPr>
                <w:rFonts w:ascii="Times New Roman" w:hAnsi="Times New Roman" w:cs="Times New Roman"/>
              </w:rPr>
              <w:t>2022 – 15,787 t</w:t>
            </w:r>
          </w:p>
          <w:p w14:paraId="1322925C" w14:textId="77777777" w:rsidR="008312AA" w:rsidRDefault="00000000">
            <w:pPr>
              <w:jc w:val="left"/>
              <w:rPr>
                <w:rFonts w:ascii="Times New Roman" w:hAnsi="Times New Roman" w:cs="Times New Roman"/>
              </w:rPr>
            </w:pPr>
            <w:r>
              <w:rPr>
                <w:rFonts w:ascii="Times New Roman" w:hAnsi="Times New Roman" w:cs="Times New Roman"/>
              </w:rPr>
              <w:t>2021 – 17,248 t</w:t>
            </w:r>
          </w:p>
          <w:p w14:paraId="30558912" w14:textId="77777777" w:rsidR="008312AA" w:rsidRDefault="00000000">
            <w:pPr>
              <w:jc w:val="left"/>
              <w:rPr>
                <w:rFonts w:ascii="Times New Roman" w:hAnsi="Times New Roman" w:cs="Times New Roman"/>
              </w:rPr>
            </w:pPr>
            <w:r>
              <w:rPr>
                <w:rFonts w:ascii="Times New Roman" w:hAnsi="Times New Roman" w:cs="Times New Roman"/>
              </w:rPr>
              <w:t>2020 – 18,727 t</w:t>
            </w:r>
          </w:p>
          <w:p w14:paraId="5C78537A" w14:textId="77777777" w:rsidR="008312AA" w:rsidRDefault="00000000">
            <w:pPr>
              <w:jc w:val="left"/>
              <w:rPr>
                <w:rFonts w:ascii="Times New Roman" w:hAnsi="Times New Roman" w:cs="Times New Roman"/>
              </w:rPr>
            </w:pPr>
            <w:r>
              <w:rPr>
                <w:rFonts w:ascii="Times New Roman" w:hAnsi="Times New Roman" w:cs="Times New Roman"/>
              </w:rPr>
              <w:t>2019 – 17,986 t</w:t>
            </w:r>
          </w:p>
        </w:tc>
      </w:tr>
      <w:tr w:rsidR="008312AA" w14:paraId="35845439"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073A3F8" w14:textId="77777777" w:rsidR="008312AA" w:rsidRDefault="00000000">
            <w:pPr>
              <w:jc w:val="left"/>
              <w:rPr>
                <w:rFonts w:ascii="Times New Roman" w:hAnsi="Times New Roman" w:cs="Times New Roman"/>
              </w:rPr>
            </w:pPr>
            <w:r>
              <w:rPr>
                <w:rFonts w:ascii="Times New Roman" w:eastAsia="Times New Roman" w:hAnsi="Times New Roman" w:cs="Times New Roman"/>
                <w:b/>
                <w:bCs/>
              </w:rPr>
              <w:t>Looduslikud tingimused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F66602D" w14:textId="77777777" w:rsidR="008312AA" w:rsidRDefault="00000000">
            <w:pPr>
              <w:jc w:val="left"/>
              <w:rPr>
                <w:rFonts w:ascii="Times New Roman" w:hAnsi="Times New Roman" w:cs="Times New Roman"/>
              </w:rPr>
            </w:pPr>
            <w:r>
              <w:rPr>
                <w:rFonts w:ascii="Times New Roman" w:hAnsi="Times New Roman" w:cs="Times New Roman"/>
              </w:rPr>
              <w:t>Head</w:t>
            </w:r>
          </w:p>
        </w:tc>
      </w:tr>
      <w:tr w:rsidR="008312AA" w14:paraId="0022B337" w14:textId="77777777">
        <w:tc>
          <w:tcPr>
            <w:tcW w:w="3402" w:type="dxa"/>
            <w:tcBorders>
              <w:top w:val="single" w:sz="8" w:space="0" w:color="FFFF00"/>
              <w:left w:val="single" w:sz="8" w:space="0" w:color="FFFF00"/>
              <w:bottom w:val="single" w:sz="8" w:space="0" w:color="FFFF00"/>
            </w:tcBorders>
            <w:shd w:val="clear" w:color="auto" w:fill="auto"/>
          </w:tcPr>
          <w:p w14:paraId="309FD930" w14:textId="77777777" w:rsidR="008312AA" w:rsidRDefault="00000000">
            <w:pPr>
              <w:jc w:val="left"/>
              <w:rPr>
                <w:rFonts w:ascii="Times New Roman" w:hAnsi="Times New Roman" w:cs="Times New Roman"/>
              </w:rPr>
            </w:pPr>
            <w:r>
              <w:rPr>
                <w:rFonts w:ascii="Times New Roman" w:eastAsia="Times New Roman" w:hAnsi="Times New Roman" w:cs="Times New Roman"/>
                <w:b/>
                <w:bCs/>
              </w:rPr>
              <w:t>Juurdepääsutee</w:t>
            </w:r>
          </w:p>
        </w:tc>
        <w:tc>
          <w:tcPr>
            <w:tcW w:w="6213" w:type="dxa"/>
            <w:tcBorders>
              <w:top w:val="single" w:sz="8" w:space="0" w:color="FFFF00"/>
              <w:bottom w:val="single" w:sz="8" w:space="0" w:color="FFFF00"/>
              <w:right w:val="single" w:sz="8" w:space="0" w:color="FFFF00"/>
            </w:tcBorders>
            <w:shd w:val="clear" w:color="auto" w:fill="auto"/>
          </w:tcPr>
          <w:p w14:paraId="7F5BCF0A" w14:textId="77777777" w:rsidR="008312AA" w:rsidRDefault="00000000">
            <w:pPr>
              <w:jc w:val="left"/>
              <w:rPr>
                <w:rFonts w:ascii="Times New Roman" w:hAnsi="Times New Roman" w:cs="Times New Roman"/>
              </w:rPr>
            </w:pPr>
            <w:r>
              <w:rPr>
                <w:rFonts w:ascii="Times New Roman" w:hAnsi="Times New Roman" w:cs="Times New Roman"/>
              </w:rPr>
              <w:t>Väga hea</w:t>
            </w:r>
          </w:p>
        </w:tc>
      </w:tr>
      <w:tr w:rsidR="008312AA" w14:paraId="7171892D"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E41ECC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Kas ja millised on sadamas kala hoiustamise- ja töötlemisvõimalused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225065A" w14:textId="77777777" w:rsidR="008312AA" w:rsidRDefault="00000000">
            <w:pPr>
              <w:jc w:val="left"/>
              <w:rPr>
                <w:rFonts w:ascii="Times New Roman" w:hAnsi="Times New Roman" w:cs="Times New Roman"/>
              </w:rPr>
            </w:pPr>
            <w:r>
              <w:rPr>
                <w:rFonts w:ascii="Times New Roman" w:hAnsi="Times New Roman" w:cs="Times New Roman"/>
              </w:rPr>
              <w:t>Puuduvad</w:t>
            </w:r>
          </w:p>
        </w:tc>
      </w:tr>
      <w:tr w:rsidR="008312AA" w14:paraId="325646D9" w14:textId="77777777">
        <w:tc>
          <w:tcPr>
            <w:tcW w:w="3402" w:type="dxa"/>
            <w:tcBorders>
              <w:top w:val="single" w:sz="8" w:space="0" w:color="FFFF00"/>
              <w:left w:val="single" w:sz="8" w:space="0" w:color="FFFF00"/>
              <w:bottom w:val="single" w:sz="8" w:space="0" w:color="FFFF00"/>
            </w:tcBorders>
            <w:shd w:val="clear" w:color="auto" w:fill="auto"/>
          </w:tcPr>
          <w:p w14:paraId="2BA8856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Mittekalapüügiga seotud tegevused ja täiendava tulu teenimise võimalused</w:t>
            </w:r>
          </w:p>
        </w:tc>
        <w:tc>
          <w:tcPr>
            <w:tcW w:w="6213" w:type="dxa"/>
            <w:tcBorders>
              <w:top w:val="single" w:sz="8" w:space="0" w:color="FFFF00"/>
              <w:bottom w:val="single" w:sz="8" w:space="0" w:color="FFFF00"/>
              <w:right w:val="single" w:sz="8" w:space="0" w:color="FFFF00"/>
            </w:tcBorders>
            <w:shd w:val="clear" w:color="auto" w:fill="auto"/>
          </w:tcPr>
          <w:p w14:paraId="7B1366A8" w14:textId="77777777" w:rsidR="008312AA" w:rsidRDefault="00000000">
            <w:pPr>
              <w:jc w:val="left"/>
              <w:rPr>
                <w:rFonts w:ascii="Times New Roman" w:hAnsi="Times New Roman" w:cs="Times New Roman"/>
              </w:rPr>
            </w:pPr>
            <w:r>
              <w:rPr>
                <w:rFonts w:ascii="Times New Roman" w:hAnsi="Times New Roman" w:cs="Times New Roman"/>
              </w:rPr>
              <w:t xml:space="preserve">Ürituste korraldamine, avatud kalasadamate </w:t>
            </w:r>
            <w:proofErr w:type="spellStart"/>
            <w:r>
              <w:rPr>
                <w:rFonts w:ascii="Times New Roman" w:hAnsi="Times New Roman" w:cs="Times New Roman"/>
              </w:rPr>
              <w:t>päev,sadama</w:t>
            </w:r>
            <w:proofErr w:type="spellEnd"/>
            <w:r>
              <w:rPr>
                <w:rFonts w:ascii="Times New Roman" w:hAnsi="Times New Roman" w:cs="Times New Roman"/>
              </w:rPr>
              <w:t xml:space="preserve"> kontserdid, suvepäevad. Hoone valmimisel ka kohviku rentniku ja sauna kasutamise tulu.</w:t>
            </w:r>
          </w:p>
        </w:tc>
      </w:tr>
      <w:tr w:rsidR="008312AA" w14:paraId="2E58A6FC"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32E8CA93"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Tehniline olukord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27B037C7" w14:textId="77777777" w:rsidR="008312AA" w:rsidRDefault="008312AA">
            <w:pPr>
              <w:jc w:val="left"/>
              <w:rPr>
                <w:rFonts w:ascii="Times New Roman" w:hAnsi="Times New Roman" w:cs="Times New Roman"/>
              </w:rPr>
            </w:pPr>
          </w:p>
        </w:tc>
      </w:tr>
      <w:tr w:rsidR="008312AA" w14:paraId="68E8C536" w14:textId="77777777">
        <w:tc>
          <w:tcPr>
            <w:tcW w:w="3402" w:type="dxa"/>
            <w:tcBorders>
              <w:top w:val="single" w:sz="8" w:space="0" w:color="FFFF00"/>
              <w:left w:val="single" w:sz="8" w:space="0" w:color="FFFF00"/>
              <w:bottom w:val="single" w:sz="8" w:space="0" w:color="FFFF00"/>
            </w:tcBorders>
            <w:shd w:val="clear" w:color="auto" w:fill="auto"/>
          </w:tcPr>
          <w:p w14:paraId="1A0AD54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Tehtud investeeringud</w:t>
            </w:r>
          </w:p>
        </w:tc>
        <w:tc>
          <w:tcPr>
            <w:tcW w:w="6213" w:type="dxa"/>
            <w:tcBorders>
              <w:top w:val="single" w:sz="8" w:space="0" w:color="FFFF00"/>
              <w:bottom w:val="single" w:sz="8" w:space="0" w:color="FFFF00"/>
              <w:right w:val="single" w:sz="8" w:space="0" w:color="FFFF00"/>
            </w:tcBorders>
            <w:shd w:val="clear" w:color="auto" w:fill="auto"/>
          </w:tcPr>
          <w:p w14:paraId="2CA50CCA" w14:textId="77777777" w:rsidR="008312AA" w:rsidRDefault="00000000">
            <w:pPr>
              <w:pStyle w:val="Loendilik"/>
              <w:numPr>
                <w:ilvl w:val="0"/>
                <w:numId w:val="20"/>
              </w:numPr>
              <w:spacing w:after="0"/>
              <w:jc w:val="left"/>
              <w:rPr>
                <w:rFonts w:ascii="Times New Roman" w:hAnsi="Times New Roman" w:cs="Times New Roman"/>
              </w:rPr>
            </w:pPr>
            <w:r>
              <w:rPr>
                <w:rFonts w:ascii="Times New Roman" w:hAnsi="Times New Roman" w:cs="Times New Roman"/>
              </w:rPr>
              <w:t>Mänguväljak ja tervisekompleksi rajamine 2019</w:t>
            </w:r>
          </w:p>
          <w:p w14:paraId="52E86EDC" w14:textId="77777777" w:rsidR="008312AA" w:rsidRDefault="00000000">
            <w:pPr>
              <w:pStyle w:val="Loendilik"/>
              <w:numPr>
                <w:ilvl w:val="0"/>
                <w:numId w:val="20"/>
              </w:numPr>
              <w:spacing w:after="0"/>
              <w:jc w:val="left"/>
              <w:rPr>
                <w:rFonts w:ascii="Times New Roman" w:hAnsi="Times New Roman" w:cs="Times New Roman"/>
              </w:rPr>
            </w:pPr>
            <w:r>
              <w:rPr>
                <w:rFonts w:ascii="Times New Roman" w:hAnsi="Times New Roman" w:cs="Times New Roman"/>
              </w:rPr>
              <w:t>Ujuvkai paigaldus harrastuskaluritele 2020</w:t>
            </w:r>
          </w:p>
          <w:p w14:paraId="39F1C0B8" w14:textId="77777777" w:rsidR="008312AA" w:rsidRDefault="00000000">
            <w:pPr>
              <w:pStyle w:val="Loendilik"/>
              <w:numPr>
                <w:ilvl w:val="0"/>
                <w:numId w:val="20"/>
              </w:numPr>
              <w:spacing w:after="0"/>
              <w:jc w:val="left"/>
              <w:rPr>
                <w:rFonts w:ascii="Times New Roman" w:hAnsi="Times New Roman" w:cs="Times New Roman"/>
              </w:rPr>
            </w:pPr>
            <w:proofErr w:type="spellStart"/>
            <w:r>
              <w:rPr>
                <w:rFonts w:ascii="Times New Roman" w:hAnsi="Times New Roman" w:cs="Times New Roman"/>
              </w:rPr>
              <w:t>Muratsi</w:t>
            </w:r>
            <w:proofErr w:type="spellEnd"/>
            <w:r>
              <w:rPr>
                <w:rFonts w:ascii="Times New Roman" w:hAnsi="Times New Roman" w:cs="Times New Roman"/>
              </w:rPr>
              <w:t xml:space="preserve"> kogukonna hoone rajamine ning infrastruktuuride välja arendamine sadamaalal I etapp 2021</w:t>
            </w:r>
          </w:p>
          <w:p w14:paraId="0A7B21AC" w14:textId="77777777" w:rsidR="008312AA" w:rsidRDefault="00000000">
            <w:pPr>
              <w:pStyle w:val="Loendilik"/>
              <w:numPr>
                <w:ilvl w:val="0"/>
                <w:numId w:val="20"/>
              </w:numPr>
              <w:spacing w:after="0"/>
              <w:jc w:val="left"/>
              <w:rPr>
                <w:rFonts w:ascii="Times New Roman" w:hAnsi="Times New Roman" w:cs="Times New Roman"/>
              </w:rPr>
            </w:pPr>
            <w:r>
              <w:rPr>
                <w:rFonts w:ascii="Times New Roman" w:hAnsi="Times New Roman" w:cs="Times New Roman"/>
              </w:rPr>
              <w:t xml:space="preserve">MTÜ </w:t>
            </w:r>
            <w:proofErr w:type="spellStart"/>
            <w:r>
              <w:rPr>
                <w:rFonts w:ascii="Times New Roman" w:hAnsi="Times New Roman" w:cs="Times New Roman"/>
              </w:rPr>
              <w:t>Vöimalus</w:t>
            </w:r>
            <w:proofErr w:type="spellEnd"/>
            <w:r>
              <w:rPr>
                <w:rFonts w:ascii="Times New Roman" w:hAnsi="Times New Roman" w:cs="Times New Roman"/>
              </w:rPr>
              <w:t xml:space="preserve"> 2020 ja 2021- Sadamaala elektrisüsteemid, valgustid.</w:t>
            </w:r>
          </w:p>
          <w:p w14:paraId="30C77A42" w14:textId="77777777" w:rsidR="008312AA" w:rsidRDefault="00000000">
            <w:pPr>
              <w:pStyle w:val="Loendilik"/>
              <w:numPr>
                <w:ilvl w:val="0"/>
                <w:numId w:val="20"/>
              </w:numPr>
              <w:spacing w:after="0"/>
              <w:jc w:val="left"/>
              <w:rPr>
                <w:rFonts w:ascii="Times New Roman" w:hAnsi="Times New Roman" w:cs="Times New Roman"/>
              </w:rPr>
            </w:pPr>
            <w:proofErr w:type="spellStart"/>
            <w:r>
              <w:rPr>
                <w:rFonts w:ascii="Times New Roman" w:hAnsi="Times New Roman" w:cs="Times New Roman"/>
              </w:rPr>
              <w:t>Leader</w:t>
            </w:r>
            <w:proofErr w:type="spellEnd"/>
            <w:r>
              <w:rPr>
                <w:rFonts w:ascii="Times New Roman" w:hAnsi="Times New Roman" w:cs="Times New Roman"/>
              </w:rPr>
              <w:t xml:space="preserve">-Saarte Koostöökogu 2023 programmist – Avalik aastaringne WC </w:t>
            </w:r>
            <w:proofErr w:type="spellStart"/>
            <w:r>
              <w:rPr>
                <w:rFonts w:ascii="Times New Roman" w:hAnsi="Times New Roman" w:cs="Times New Roman"/>
              </w:rPr>
              <w:t>Muratsi</w:t>
            </w:r>
            <w:proofErr w:type="spellEnd"/>
            <w:r>
              <w:rPr>
                <w:rFonts w:ascii="Times New Roman" w:hAnsi="Times New Roman" w:cs="Times New Roman"/>
              </w:rPr>
              <w:t xml:space="preserve"> sadamas.</w:t>
            </w:r>
          </w:p>
          <w:p w14:paraId="6FAA0759" w14:textId="77777777" w:rsidR="008312AA" w:rsidRDefault="00000000">
            <w:pPr>
              <w:jc w:val="left"/>
              <w:rPr>
                <w:rFonts w:ascii="Times New Roman" w:hAnsi="Times New Roman" w:cs="Times New Roman"/>
              </w:rPr>
            </w:pPr>
            <w:r>
              <w:rPr>
                <w:rFonts w:ascii="Times New Roman" w:hAnsi="Times New Roman" w:cs="Times New Roman"/>
              </w:rPr>
              <w:t xml:space="preserve">Tehtud investeeringud on ennast õigustanud 100% ning tehtud tööde tulemusel on külastatavus ja populaarsus sadamas hüppeliselt kasvanud. </w:t>
            </w:r>
            <w:proofErr w:type="spellStart"/>
            <w:r>
              <w:rPr>
                <w:rFonts w:ascii="Times New Roman" w:hAnsi="Times New Roman" w:cs="Times New Roman"/>
              </w:rPr>
              <w:t>Muratsi</w:t>
            </w:r>
            <w:proofErr w:type="spellEnd"/>
            <w:r>
              <w:rPr>
                <w:rFonts w:ascii="Times New Roman" w:hAnsi="Times New Roman" w:cs="Times New Roman"/>
              </w:rPr>
              <w:t xml:space="preserve"> küla on Saaremaa üks suurema tihedusega külasid noortele peredele. Sadamast on saanud kogukonna keskus, kus käib aktiivne kalapüük, on suvitajate meelispaik ja olemas lastele mitmete võimalustega rannaala. Hoone rajamisega saab sadamalale WC ja pesemis võimalused. Lisaks võimalus saada kerge kõhutäis kohviku näol.</w:t>
            </w:r>
          </w:p>
        </w:tc>
      </w:tr>
      <w:tr w:rsidR="008312AA" w14:paraId="326FA886"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4E28767"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lastRenderedPageBreak/>
              <w:t>Investeeringu plaanid ja vajadused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1714BA4" w14:textId="77777777" w:rsidR="008312AA" w:rsidRDefault="00000000">
            <w:pPr>
              <w:jc w:val="left"/>
              <w:rPr>
                <w:rFonts w:ascii="Times New Roman" w:hAnsi="Times New Roman" w:cs="Times New Roman"/>
              </w:rPr>
            </w:pPr>
            <w:r>
              <w:rPr>
                <w:rFonts w:ascii="Times New Roman" w:hAnsi="Times New Roman" w:cs="Times New Roman"/>
              </w:rPr>
              <w:t>Järgmiste investeeringutega on planeeritud sadamahoone sisetööd ja sisustamine. Akvatooriumi süvendus ning statsionaarse kai ehitus, mis annab juurde lisaks 8 – 10 kohta, kus olemas kala lossimiseks paremad tingimused ja mõrdade väljatoomiseks vajalikud lisa seadmed, mis kergendaks kalurite tööd.</w:t>
            </w:r>
          </w:p>
        </w:tc>
      </w:tr>
      <w:tr w:rsidR="008312AA" w14:paraId="2E136B55" w14:textId="77777777">
        <w:tc>
          <w:tcPr>
            <w:tcW w:w="3402" w:type="dxa"/>
            <w:tcBorders>
              <w:top w:val="single" w:sz="8" w:space="0" w:color="FFFF00"/>
              <w:left w:val="single" w:sz="8" w:space="0" w:color="FFFF00"/>
              <w:bottom w:val="single" w:sz="8" w:space="0" w:color="FFFF00"/>
            </w:tcBorders>
            <w:shd w:val="clear" w:color="auto" w:fill="auto"/>
          </w:tcPr>
          <w:p w14:paraId="00A0DD46"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Prognoositav investeeringute maksumus</w:t>
            </w:r>
          </w:p>
        </w:tc>
        <w:tc>
          <w:tcPr>
            <w:tcW w:w="6213" w:type="dxa"/>
            <w:tcBorders>
              <w:top w:val="single" w:sz="8" w:space="0" w:color="FFFF00"/>
              <w:bottom w:val="single" w:sz="8" w:space="0" w:color="FFFF00"/>
              <w:right w:val="single" w:sz="8" w:space="0" w:color="FFFF00"/>
            </w:tcBorders>
            <w:shd w:val="clear" w:color="auto" w:fill="auto"/>
          </w:tcPr>
          <w:p w14:paraId="36556992" w14:textId="77777777" w:rsidR="008312AA" w:rsidRDefault="00000000">
            <w:pPr>
              <w:jc w:val="left"/>
              <w:rPr>
                <w:rFonts w:ascii="Times New Roman" w:hAnsi="Times New Roman" w:cs="Times New Roman"/>
              </w:rPr>
            </w:pPr>
            <w:r>
              <w:rPr>
                <w:rFonts w:ascii="Times New Roman" w:hAnsi="Times New Roman" w:cs="Times New Roman"/>
              </w:rPr>
              <w:t>Prognoositav maksumus, mis annaks lõpetada sadamahoone tervikuna ning valmis saada kai koos parkla autodele ja treileritele oleks ~250 000€</w:t>
            </w:r>
          </w:p>
          <w:p w14:paraId="05BFE727" w14:textId="77777777" w:rsidR="008312AA" w:rsidRDefault="008312AA">
            <w:pPr>
              <w:snapToGrid w:val="0"/>
              <w:jc w:val="left"/>
              <w:rPr>
                <w:rFonts w:ascii="Times New Roman" w:hAnsi="Times New Roman" w:cs="Times New Roman"/>
                <w:color w:val="000000"/>
              </w:rPr>
            </w:pPr>
          </w:p>
        </w:tc>
      </w:tr>
      <w:tr w:rsidR="008312AA" w14:paraId="053B2635" w14:textId="77777777">
        <w:tc>
          <w:tcPr>
            <w:tcW w:w="3402" w:type="dxa"/>
            <w:tcBorders>
              <w:left w:val="single" w:sz="8" w:space="0" w:color="FFFF00"/>
              <w:bottom w:val="single" w:sz="8" w:space="0" w:color="FFFF00"/>
            </w:tcBorders>
            <w:shd w:val="clear" w:color="auto" w:fill="D9E2F3" w:themeFill="accent1" w:themeFillTint="33"/>
          </w:tcPr>
          <w:p w14:paraId="3A095D24"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Valiku põhjendus</w:t>
            </w:r>
          </w:p>
        </w:tc>
        <w:tc>
          <w:tcPr>
            <w:tcW w:w="6213" w:type="dxa"/>
            <w:tcBorders>
              <w:bottom w:val="single" w:sz="8" w:space="0" w:color="FFFF00"/>
              <w:right w:val="single" w:sz="8" w:space="0" w:color="FFFF00"/>
            </w:tcBorders>
            <w:shd w:val="clear" w:color="auto" w:fill="D9E2F3" w:themeFill="accent1" w:themeFillTint="33"/>
          </w:tcPr>
          <w:p w14:paraId="14470FF0" w14:textId="77777777" w:rsidR="008312AA" w:rsidRDefault="00000000">
            <w:pPr>
              <w:snapToGrid w:val="0"/>
              <w:jc w:val="left"/>
              <w:rPr>
                <w:rFonts w:ascii="Times New Roman" w:eastAsia="Times New Roman" w:hAnsi="Times New Roman" w:cs="Times New Roman"/>
                <w:iCs/>
              </w:rPr>
            </w:pPr>
            <w:r>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Pr>
                <w:rFonts w:ascii="Times New Roman" w:hAnsi="Times New Roman" w:cs="Times New Roman"/>
              </w:rPr>
              <w:t>Saaremaa kalanduspiirkonna üldistest kalasaakidest tulenevalt peab toetust saavate kalasadamate lossimiskogus aastas olema vähemalt 5 tonni.</w:t>
            </w:r>
          </w:p>
        </w:tc>
      </w:tr>
    </w:tbl>
    <w:p w14:paraId="493585B0" w14:textId="77777777" w:rsidR="008312AA" w:rsidRDefault="008312AA">
      <w:pPr>
        <w:jc w:val="left"/>
        <w:rPr>
          <w:rFonts w:ascii="Times New Roman" w:hAnsi="Times New Roman" w:cs="Times New Roman"/>
        </w:rPr>
      </w:pPr>
    </w:p>
    <w:tbl>
      <w:tblPr>
        <w:tblW w:w="9616" w:type="dxa"/>
        <w:tblInd w:w="-11" w:type="dxa"/>
        <w:tblLayout w:type="fixed"/>
        <w:tblLook w:val="0000" w:firstRow="0" w:lastRow="0" w:firstColumn="0" w:lastColumn="0" w:noHBand="0" w:noVBand="0"/>
      </w:tblPr>
      <w:tblGrid>
        <w:gridCol w:w="3402"/>
        <w:gridCol w:w="6214"/>
      </w:tblGrid>
      <w:tr w:rsidR="008312AA" w14:paraId="1C66D48E"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55680E3" w14:textId="77777777" w:rsidR="008312AA" w:rsidRDefault="00000000">
            <w:pPr>
              <w:jc w:val="left"/>
              <w:rPr>
                <w:rFonts w:ascii="Times New Roman" w:eastAsia="Times New Roman" w:hAnsi="Times New Roman" w:cs="Times New Roman"/>
                <w:b/>
                <w:bCs/>
                <w:shd w:val="clear" w:color="auto" w:fill="FFFF00"/>
              </w:rPr>
            </w:pPr>
            <w:r>
              <w:rPr>
                <w:rFonts w:ascii="Times New Roman" w:eastAsia="Times New Roman" w:hAnsi="Times New Roman" w:cs="Times New Roman"/>
                <w:b/>
                <w:bCs/>
                <w:highlight w:val="cyan"/>
                <w:shd w:val="clear" w:color="auto" w:fill="FFFF00"/>
              </w:rPr>
              <w:t>Sadam</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29B570A" w14:textId="77777777" w:rsidR="008312AA" w:rsidRDefault="00000000">
            <w:pPr>
              <w:jc w:val="left"/>
              <w:rPr>
                <w:rFonts w:ascii="Times New Roman" w:hAnsi="Times New Roman" w:cs="Times New Roman"/>
              </w:rPr>
            </w:pPr>
            <w:r>
              <w:rPr>
                <w:rFonts w:ascii="Times New Roman" w:eastAsia="Times New Roman" w:hAnsi="Times New Roman" w:cs="Times New Roman"/>
                <w:b/>
                <w:bCs/>
                <w:highlight w:val="cyan"/>
                <w:shd w:val="clear" w:color="auto" w:fill="FFFF00"/>
              </w:rPr>
              <w:t>Tori jõesadam</w:t>
            </w:r>
          </w:p>
        </w:tc>
      </w:tr>
      <w:tr w:rsidR="008312AA" w14:paraId="17292DBA" w14:textId="77777777">
        <w:tc>
          <w:tcPr>
            <w:tcW w:w="3402" w:type="dxa"/>
            <w:tcBorders>
              <w:top w:val="single" w:sz="8" w:space="0" w:color="FFFF00"/>
              <w:left w:val="single" w:sz="8" w:space="0" w:color="FFFF00"/>
              <w:bottom w:val="single" w:sz="8" w:space="0" w:color="FFFF00"/>
            </w:tcBorders>
            <w:shd w:val="clear" w:color="auto" w:fill="auto"/>
          </w:tcPr>
          <w:p w14:paraId="2FF50EBA"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Asukoht</w:t>
            </w:r>
          </w:p>
        </w:tc>
        <w:tc>
          <w:tcPr>
            <w:tcW w:w="6213" w:type="dxa"/>
            <w:tcBorders>
              <w:top w:val="single" w:sz="8" w:space="0" w:color="FFFF00"/>
              <w:bottom w:val="single" w:sz="8" w:space="0" w:color="FFFF00"/>
              <w:right w:val="single" w:sz="8" w:space="0" w:color="FFFF00"/>
            </w:tcBorders>
            <w:shd w:val="clear" w:color="auto" w:fill="auto"/>
          </w:tcPr>
          <w:p w14:paraId="6742B675" w14:textId="77777777" w:rsidR="008312AA" w:rsidRDefault="00000000">
            <w:pPr>
              <w:jc w:val="left"/>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t>Saare maakond, Saaremaa vald, Kuressaare linn, Kaluri tee L1, 93810, katastriüksuse tunnus: 34901:010:0496,34901:014:0009</w:t>
            </w:r>
          </w:p>
          <w:p w14:paraId="055E8BE3" w14:textId="77777777" w:rsidR="008312AA" w:rsidRDefault="00000000">
            <w:pPr>
              <w:jc w:val="left"/>
              <w:rPr>
                <w:rFonts w:ascii="Times New Roman" w:hAnsi="Times New Roman" w:cs="Times New Roman"/>
              </w:rPr>
            </w:pPr>
            <w:r>
              <w:rPr>
                <w:rFonts w:ascii="Times New Roman" w:hAnsi="Times New Roman" w:cs="Times New Roman"/>
                <w:color w:val="212529"/>
                <w:shd w:val="clear" w:color="auto" w:fill="FFFFFF"/>
              </w:rPr>
              <w:t xml:space="preserve">Sadamaregistri link: </w:t>
            </w:r>
            <w:hyperlink r:id="rId112">
              <w:r>
                <w:rPr>
                  <w:rStyle w:val="Hperlink"/>
                  <w:rFonts w:ascii="Times New Roman" w:hAnsi="Times New Roman" w:cs="Times New Roman"/>
                  <w:shd w:val="clear" w:color="auto" w:fill="FFFFFF"/>
                </w:rPr>
                <w:t>https://www.sadamaregister.ee/sadam/2665</w:t>
              </w:r>
            </w:hyperlink>
            <w:r>
              <w:rPr>
                <w:rFonts w:ascii="Times New Roman" w:hAnsi="Times New Roman" w:cs="Times New Roman"/>
                <w:color w:val="212529"/>
                <w:shd w:val="clear" w:color="auto" w:fill="FFFFFF"/>
              </w:rPr>
              <w:t xml:space="preserve"> </w:t>
            </w:r>
          </w:p>
        </w:tc>
      </w:tr>
      <w:tr w:rsidR="008312AA" w14:paraId="7BE00D5D"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1CBFD22"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Kaide äärne sügavus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29BABC8C" w14:textId="77777777" w:rsidR="008312AA" w:rsidRDefault="00000000">
            <w:pPr>
              <w:jc w:val="left"/>
              <w:rPr>
                <w:rFonts w:ascii="Times New Roman" w:hAnsi="Times New Roman" w:cs="Times New Roman"/>
              </w:rPr>
            </w:pPr>
            <w:r>
              <w:rPr>
                <w:rFonts w:ascii="Times New Roman" w:hAnsi="Times New Roman" w:cs="Times New Roman"/>
              </w:rPr>
              <w:t>0,7 – 0,9</w:t>
            </w:r>
          </w:p>
        </w:tc>
      </w:tr>
      <w:tr w:rsidR="008312AA" w14:paraId="5FB9E2C8" w14:textId="77777777">
        <w:tc>
          <w:tcPr>
            <w:tcW w:w="3402" w:type="dxa"/>
            <w:tcBorders>
              <w:top w:val="single" w:sz="8" w:space="0" w:color="FFFF00"/>
              <w:left w:val="single" w:sz="8" w:space="0" w:color="FFFF00"/>
              <w:bottom w:val="single" w:sz="8" w:space="0" w:color="FFFF00"/>
            </w:tcBorders>
            <w:shd w:val="clear" w:color="auto" w:fill="auto"/>
          </w:tcPr>
          <w:p w14:paraId="5D6DA610"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Akvatooriumi suurus</w:t>
            </w:r>
          </w:p>
        </w:tc>
        <w:tc>
          <w:tcPr>
            <w:tcW w:w="6213" w:type="dxa"/>
            <w:tcBorders>
              <w:top w:val="single" w:sz="8" w:space="0" w:color="FFFF00"/>
              <w:bottom w:val="single" w:sz="8" w:space="0" w:color="FFFF00"/>
              <w:right w:val="single" w:sz="8" w:space="0" w:color="FFFF00"/>
            </w:tcBorders>
            <w:shd w:val="clear" w:color="auto" w:fill="auto"/>
          </w:tcPr>
          <w:p w14:paraId="5288A8A0" w14:textId="77777777" w:rsidR="008312AA" w:rsidRDefault="00000000">
            <w:pPr>
              <w:jc w:val="left"/>
              <w:rPr>
                <w:rFonts w:ascii="Times New Roman" w:hAnsi="Times New Roman" w:cs="Times New Roman"/>
                <w:color w:val="FF0000"/>
                <w:vertAlign w:val="superscript"/>
              </w:rPr>
            </w:pPr>
            <w:r>
              <w:rPr>
                <w:rFonts w:ascii="Times New Roman" w:hAnsi="Times New Roman" w:cs="Times New Roman"/>
              </w:rPr>
              <w:t>Määramata, umbes 300 m</w:t>
            </w:r>
            <w:r>
              <w:rPr>
                <w:rFonts w:ascii="Times New Roman" w:hAnsi="Times New Roman" w:cs="Times New Roman"/>
                <w:vertAlign w:val="superscript"/>
              </w:rPr>
              <w:t>2</w:t>
            </w:r>
          </w:p>
        </w:tc>
      </w:tr>
      <w:tr w:rsidR="008312AA" w14:paraId="0C1DD2E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93DF8A1"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 territooriumi suurus</w:t>
            </w:r>
          </w:p>
          <w:p w14:paraId="597840DB"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(pindala)</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55D01E0" w14:textId="77777777" w:rsidR="008312AA" w:rsidRDefault="00000000">
            <w:pPr>
              <w:jc w:val="left"/>
              <w:rPr>
                <w:rFonts w:ascii="Times New Roman" w:hAnsi="Times New Roman" w:cs="Times New Roman"/>
              </w:rPr>
            </w:pPr>
            <w:r>
              <w:rPr>
                <w:rFonts w:ascii="Times New Roman" w:hAnsi="Times New Roman" w:cs="Times New Roman"/>
              </w:rPr>
              <w:t>5151,1 m</w:t>
            </w:r>
            <w:r>
              <w:rPr>
                <w:rFonts w:ascii="Times New Roman" w:hAnsi="Times New Roman" w:cs="Times New Roman"/>
                <w:vertAlign w:val="superscript"/>
              </w:rPr>
              <w:t>2</w:t>
            </w:r>
          </w:p>
        </w:tc>
      </w:tr>
      <w:tr w:rsidR="008312AA" w14:paraId="24AFBD9A" w14:textId="77777777">
        <w:tc>
          <w:tcPr>
            <w:tcW w:w="3402" w:type="dxa"/>
            <w:tcBorders>
              <w:top w:val="single" w:sz="8" w:space="0" w:color="FFFF00"/>
              <w:left w:val="single" w:sz="8" w:space="0" w:color="FFFF00"/>
              <w:bottom w:val="single" w:sz="8" w:space="0" w:color="FFFF00"/>
            </w:tcBorders>
            <w:shd w:val="clear" w:color="auto" w:fill="auto"/>
          </w:tcPr>
          <w:p w14:paraId="6F31C54E"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Sadamat kasutava laevastiku kirjeldus (segmendid)</w:t>
            </w:r>
          </w:p>
        </w:tc>
        <w:tc>
          <w:tcPr>
            <w:tcW w:w="6213" w:type="dxa"/>
            <w:tcBorders>
              <w:top w:val="single" w:sz="8" w:space="0" w:color="FFFF00"/>
              <w:bottom w:val="single" w:sz="8" w:space="0" w:color="FFFF00"/>
              <w:right w:val="single" w:sz="8" w:space="0" w:color="FFFF00"/>
            </w:tcBorders>
            <w:shd w:val="clear" w:color="auto" w:fill="auto"/>
          </w:tcPr>
          <w:p w14:paraId="636B4129" w14:textId="77777777" w:rsidR="008312AA" w:rsidRDefault="00000000">
            <w:pPr>
              <w:jc w:val="left"/>
              <w:rPr>
                <w:rFonts w:ascii="Times New Roman" w:hAnsi="Times New Roman" w:cs="Times New Roman"/>
                <w:color w:val="FF0000"/>
              </w:rPr>
            </w:pPr>
            <w:r>
              <w:rPr>
                <w:rFonts w:ascii="Times New Roman" w:hAnsi="Times New Roman" w:cs="Times New Roman"/>
              </w:rPr>
              <w:t>Kalalaevad 4S2</w:t>
            </w:r>
          </w:p>
        </w:tc>
      </w:tr>
      <w:tr w:rsidR="008312AA" w14:paraId="3DF7C1EC"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5099284"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Sadamapidaja kontaktid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B469610" w14:textId="77777777" w:rsidR="008312AA" w:rsidRDefault="00000000">
            <w:pPr>
              <w:jc w:val="left"/>
              <w:rPr>
                <w:rFonts w:ascii="Times New Roman" w:hAnsi="Times New Roman" w:cs="Times New Roman"/>
              </w:rPr>
            </w:pPr>
            <w:r>
              <w:rPr>
                <w:rFonts w:ascii="Times New Roman" w:hAnsi="Times New Roman" w:cs="Times New Roman"/>
              </w:rPr>
              <w:t xml:space="preserve">Saaremaa Vallavalitsus (77000306),  Raivo Kahm, +372 522 8547, </w:t>
            </w:r>
            <w:hyperlink r:id="rId113">
              <w:r>
                <w:rPr>
                  <w:rStyle w:val="Hperlink"/>
                  <w:rFonts w:ascii="Times New Roman" w:hAnsi="Times New Roman" w:cs="Times New Roman"/>
                  <w:color w:val="0070C0"/>
                </w:rPr>
                <w:t>vald@saaremaavald.ee</w:t>
              </w:r>
            </w:hyperlink>
            <w:r>
              <w:rPr>
                <w:rFonts w:ascii="Times New Roman" w:hAnsi="Times New Roman" w:cs="Times New Roman"/>
                <w:color w:val="0070C0"/>
              </w:rPr>
              <w:t xml:space="preserve">, </w:t>
            </w:r>
            <w:hyperlink r:id="rId114">
              <w:r>
                <w:rPr>
                  <w:rStyle w:val="Hperlink"/>
                  <w:rFonts w:ascii="Times New Roman" w:hAnsi="Times New Roman" w:cs="Times New Roman"/>
                  <w:color w:val="0070C0"/>
                </w:rPr>
                <w:t>raido.kahm@saaremaavald.ee</w:t>
              </w:r>
            </w:hyperlink>
            <w:r>
              <w:rPr>
                <w:rFonts w:ascii="Times New Roman" w:hAnsi="Times New Roman" w:cs="Times New Roman"/>
                <w:color w:val="0070C0"/>
              </w:rPr>
              <w:t xml:space="preserve">, </w:t>
            </w:r>
            <w:hyperlink r:id="rId115">
              <w:r>
                <w:rPr>
                  <w:rStyle w:val="Hperlink"/>
                  <w:rFonts w:ascii="Times New Roman" w:hAnsi="Times New Roman" w:cs="Times New Roman"/>
                  <w:color w:val="0070C0"/>
                </w:rPr>
                <w:t>www.saaremaavald.ee</w:t>
              </w:r>
            </w:hyperlink>
          </w:p>
        </w:tc>
      </w:tr>
      <w:tr w:rsidR="008312AA" w14:paraId="78D1436B" w14:textId="77777777">
        <w:tc>
          <w:tcPr>
            <w:tcW w:w="3402" w:type="dxa"/>
            <w:tcBorders>
              <w:top w:val="single" w:sz="8" w:space="0" w:color="FFFF00"/>
              <w:left w:val="single" w:sz="8" w:space="0" w:color="FFFF00"/>
              <w:bottom w:val="single" w:sz="8" w:space="0" w:color="FFFF00"/>
            </w:tcBorders>
            <w:shd w:val="clear" w:color="auto" w:fill="auto"/>
          </w:tcPr>
          <w:p w14:paraId="64D759F7"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Milline on sadama kasutusaktiivsus sh püügivõimalused</w:t>
            </w:r>
          </w:p>
        </w:tc>
        <w:tc>
          <w:tcPr>
            <w:tcW w:w="6213" w:type="dxa"/>
            <w:tcBorders>
              <w:top w:val="single" w:sz="8" w:space="0" w:color="FFFF00"/>
              <w:bottom w:val="single" w:sz="8" w:space="0" w:color="FFFF00"/>
              <w:right w:val="single" w:sz="8" w:space="0" w:color="FFFF00"/>
            </w:tcBorders>
            <w:shd w:val="clear" w:color="auto" w:fill="auto"/>
          </w:tcPr>
          <w:p w14:paraId="34A353C4" w14:textId="77777777" w:rsidR="008312AA" w:rsidRDefault="00000000">
            <w:pPr>
              <w:jc w:val="left"/>
              <w:rPr>
                <w:rFonts w:ascii="Times New Roman" w:hAnsi="Times New Roman" w:cs="Times New Roman"/>
              </w:rPr>
            </w:pPr>
            <w:r>
              <w:rPr>
                <w:rFonts w:ascii="Times New Roman" w:hAnsi="Times New Roman" w:cs="Times New Roman"/>
              </w:rPr>
              <w:t>Sadama kasutusaktiivsus on kõrge</w:t>
            </w:r>
          </w:p>
        </w:tc>
      </w:tr>
      <w:tr w:rsidR="008312AA" w14:paraId="067E065D"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F144913"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Püügiperioodi pikkus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8441248" w14:textId="77777777" w:rsidR="008312AA" w:rsidRDefault="00000000">
            <w:pPr>
              <w:jc w:val="left"/>
              <w:rPr>
                <w:rFonts w:ascii="Times New Roman" w:hAnsi="Times New Roman" w:cs="Times New Roman"/>
              </w:rPr>
            </w:pPr>
            <w:r>
              <w:rPr>
                <w:rFonts w:ascii="Times New Roman" w:hAnsi="Times New Roman" w:cs="Times New Roman"/>
              </w:rPr>
              <w:t>Aastaringne</w:t>
            </w:r>
          </w:p>
        </w:tc>
      </w:tr>
      <w:tr w:rsidR="008312AA" w14:paraId="170E9E52" w14:textId="77777777">
        <w:tc>
          <w:tcPr>
            <w:tcW w:w="3402" w:type="dxa"/>
            <w:tcBorders>
              <w:top w:val="single" w:sz="8" w:space="0" w:color="FFFF00"/>
              <w:left w:val="single" w:sz="8" w:space="0" w:color="FFFF00"/>
              <w:bottom w:val="single" w:sz="8" w:space="0" w:color="FFFF00"/>
            </w:tcBorders>
            <w:shd w:val="clear" w:color="auto" w:fill="auto"/>
          </w:tcPr>
          <w:p w14:paraId="2BC6C5B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Omanikud</w:t>
            </w:r>
          </w:p>
        </w:tc>
        <w:tc>
          <w:tcPr>
            <w:tcW w:w="6213" w:type="dxa"/>
            <w:tcBorders>
              <w:top w:val="single" w:sz="8" w:space="0" w:color="FFFF00"/>
              <w:bottom w:val="single" w:sz="8" w:space="0" w:color="FFFF00"/>
              <w:right w:val="single" w:sz="8" w:space="0" w:color="FFFF00"/>
            </w:tcBorders>
            <w:shd w:val="clear" w:color="auto" w:fill="auto"/>
          </w:tcPr>
          <w:p w14:paraId="039C1CEF" w14:textId="77777777" w:rsidR="008312AA" w:rsidRDefault="00000000">
            <w:pPr>
              <w:jc w:val="left"/>
              <w:rPr>
                <w:rFonts w:ascii="Times New Roman" w:hAnsi="Times New Roman" w:cs="Times New Roman"/>
              </w:rPr>
            </w:pPr>
            <w:r>
              <w:rPr>
                <w:rFonts w:ascii="Times New Roman" w:hAnsi="Times New Roman" w:cs="Times New Roman"/>
              </w:rPr>
              <w:t xml:space="preserve">Saaremaa Vallavalitsus/ Sadama operaator on lepingu alusel MTÜ Tori Sadama ja Kalurite Ühing </w:t>
            </w:r>
          </w:p>
        </w:tc>
      </w:tr>
      <w:tr w:rsidR="008312AA" w14:paraId="171EA47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6DC6AAF"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kutseliste kalurite arv</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0F58C92" w14:textId="77777777" w:rsidR="008312AA" w:rsidRDefault="00000000">
            <w:pPr>
              <w:jc w:val="left"/>
              <w:rPr>
                <w:rFonts w:ascii="Times New Roman" w:hAnsi="Times New Roman" w:cs="Times New Roman"/>
              </w:rPr>
            </w:pPr>
            <w:r>
              <w:rPr>
                <w:rFonts w:ascii="Times New Roman" w:hAnsi="Times New Roman" w:cs="Times New Roman"/>
              </w:rPr>
              <w:t>15</w:t>
            </w:r>
          </w:p>
        </w:tc>
      </w:tr>
      <w:tr w:rsidR="008312AA" w14:paraId="6C0DAAB1" w14:textId="77777777">
        <w:tc>
          <w:tcPr>
            <w:tcW w:w="3402" w:type="dxa"/>
            <w:tcBorders>
              <w:top w:val="single" w:sz="8" w:space="0" w:color="FFFF00"/>
              <w:left w:val="single" w:sz="8" w:space="0" w:color="FFFF00"/>
              <w:bottom w:val="single" w:sz="8" w:space="0" w:color="FFFF00"/>
            </w:tcBorders>
            <w:shd w:val="clear" w:color="auto" w:fill="auto"/>
          </w:tcPr>
          <w:p w14:paraId="0D975001"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lastRenderedPageBreak/>
              <w:t>Sadamat kasutavate harrastuskalurite arv</w:t>
            </w:r>
          </w:p>
        </w:tc>
        <w:tc>
          <w:tcPr>
            <w:tcW w:w="6213" w:type="dxa"/>
            <w:tcBorders>
              <w:top w:val="single" w:sz="8" w:space="0" w:color="FFFF00"/>
              <w:bottom w:val="single" w:sz="8" w:space="0" w:color="FFFF00"/>
              <w:right w:val="single" w:sz="8" w:space="0" w:color="FFFF00"/>
            </w:tcBorders>
            <w:shd w:val="clear" w:color="auto" w:fill="auto"/>
          </w:tcPr>
          <w:p w14:paraId="00E4FEC0" w14:textId="77777777" w:rsidR="008312AA" w:rsidRDefault="00000000">
            <w:pPr>
              <w:jc w:val="left"/>
              <w:rPr>
                <w:rFonts w:ascii="Times New Roman" w:hAnsi="Times New Roman" w:cs="Times New Roman"/>
              </w:rPr>
            </w:pPr>
            <w:r>
              <w:rPr>
                <w:rFonts w:ascii="Times New Roman" w:hAnsi="Times New Roman" w:cs="Times New Roman"/>
              </w:rPr>
              <w:t>On ajas muutuv</w:t>
            </w:r>
          </w:p>
        </w:tc>
      </w:tr>
      <w:tr w:rsidR="008312AA" w14:paraId="7EB21C4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635A492D" w14:textId="77777777" w:rsidR="008312AA" w:rsidRDefault="00000000">
            <w:pPr>
              <w:jc w:val="left"/>
              <w:rPr>
                <w:rFonts w:ascii="Times New Roman" w:eastAsia="Times New Roman" w:hAnsi="Times New Roman" w:cs="Times New Roman"/>
                <w:b/>
                <w:bCs/>
              </w:rPr>
            </w:pPr>
            <w:r>
              <w:rPr>
                <w:rFonts w:ascii="Times New Roman" w:hAnsi="Times New Roman" w:cs="Times New Roman"/>
                <w:b/>
                <w:bCs/>
              </w:rPr>
              <w:t>Sadamat kasutavate muude isikute arv ja mis eesmärgil sadamat kasutatakse (muud teenused sadamas)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9B638EA" w14:textId="77777777" w:rsidR="008312AA" w:rsidRDefault="00000000">
            <w:pPr>
              <w:jc w:val="left"/>
              <w:rPr>
                <w:rFonts w:ascii="Times New Roman" w:hAnsi="Times New Roman" w:cs="Times New Roman"/>
              </w:rPr>
            </w:pPr>
            <w:r>
              <w:rPr>
                <w:rFonts w:ascii="Times New Roman" w:hAnsi="Times New Roman" w:cs="Times New Roman"/>
              </w:rPr>
              <w:t>Kogu Tori lahe ja jõe piirkond on nii linnaelanike kui turistide aktiivses kasutamises. Sadam on muutunud heaks kalanduse visiitkaardiks, mis tõmbab tähelepanu ja tekitab läbi selle kalandusele positiivset kuvandit. Teenuseid sadamas ei pakuta.</w:t>
            </w:r>
          </w:p>
        </w:tc>
      </w:tr>
      <w:tr w:rsidR="008312AA" w14:paraId="363A9949" w14:textId="77777777">
        <w:tc>
          <w:tcPr>
            <w:tcW w:w="3402" w:type="dxa"/>
            <w:tcBorders>
              <w:top w:val="single" w:sz="8" w:space="0" w:color="FFFF00"/>
              <w:left w:val="single" w:sz="8" w:space="0" w:color="FFFF00"/>
              <w:bottom w:val="single" w:sz="8" w:space="0" w:color="FFFF00"/>
            </w:tcBorders>
            <w:shd w:val="clear" w:color="auto" w:fill="auto"/>
          </w:tcPr>
          <w:p w14:paraId="11F2F31C"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kasutavad kalapaadid</w:t>
            </w:r>
          </w:p>
        </w:tc>
        <w:tc>
          <w:tcPr>
            <w:tcW w:w="6213" w:type="dxa"/>
            <w:tcBorders>
              <w:top w:val="single" w:sz="8" w:space="0" w:color="FFFF00"/>
              <w:bottom w:val="single" w:sz="8" w:space="0" w:color="FFFF00"/>
              <w:right w:val="single" w:sz="8" w:space="0" w:color="FFFF00"/>
            </w:tcBorders>
            <w:shd w:val="clear" w:color="auto" w:fill="auto"/>
          </w:tcPr>
          <w:p w14:paraId="306538A3" w14:textId="77777777" w:rsidR="008312AA" w:rsidRDefault="00000000">
            <w:pPr>
              <w:jc w:val="left"/>
              <w:rPr>
                <w:rFonts w:ascii="Times New Roman" w:hAnsi="Times New Roman" w:cs="Times New Roman"/>
              </w:rPr>
            </w:pPr>
            <w:r>
              <w:rPr>
                <w:rFonts w:ascii="Times New Roman" w:hAnsi="Times New Roman" w:cs="Times New Roman"/>
              </w:rPr>
              <w:t>15</w:t>
            </w:r>
          </w:p>
        </w:tc>
      </w:tr>
      <w:tr w:rsidR="008312AA" w14:paraId="742B2742"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11757B8"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harrastajate paadid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78CEB48" w14:textId="77777777" w:rsidR="008312AA" w:rsidRDefault="00000000">
            <w:pPr>
              <w:jc w:val="left"/>
              <w:rPr>
                <w:rFonts w:ascii="Times New Roman" w:hAnsi="Times New Roman" w:cs="Times New Roman"/>
              </w:rPr>
            </w:pPr>
            <w:r>
              <w:rPr>
                <w:rFonts w:ascii="Times New Roman" w:hAnsi="Times New Roman" w:cs="Times New Roman"/>
              </w:rPr>
              <w:t>Ajas muutuv, paadikohtade arv on piiratud</w:t>
            </w:r>
          </w:p>
        </w:tc>
      </w:tr>
      <w:tr w:rsidR="008312AA" w14:paraId="4C29A012" w14:textId="77777777">
        <w:tc>
          <w:tcPr>
            <w:tcW w:w="3402" w:type="dxa"/>
            <w:tcBorders>
              <w:top w:val="single" w:sz="8" w:space="0" w:color="FFFF00"/>
              <w:left w:val="single" w:sz="8" w:space="0" w:color="FFFF00"/>
              <w:bottom w:val="single" w:sz="8" w:space="0" w:color="FFFF00"/>
            </w:tcBorders>
            <w:shd w:val="clear" w:color="auto" w:fill="auto"/>
          </w:tcPr>
          <w:p w14:paraId="368E0F5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Kaluri kalapüügiloaga lossimised viimased neli aastat</w:t>
            </w:r>
          </w:p>
        </w:tc>
        <w:tc>
          <w:tcPr>
            <w:tcW w:w="6213" w:type="dxa"/>
            <w:tcBorders>
              <w:top w:val="single" w:sz="8" w:space="0" w:color="FFFF00"/>
              <w:bottom w:val="single" w:sz="8" w:space="0" w:color="FFFF00"/>
              <w:right w:val="single" w:sz="8" w:space="0" w:color="FFFF00"/>
            </w:tcBorders>
            <w:shd w:val="clear" w:color="auto" w:fill="auto"/>
          </w:tcPr>
          <w:p w14:paraId="02EEE934" w14:textId="77777777" w:rsidR="008312AA" w:rsidRDefault="00000000">
            <w:pPr>
              <w:jc w:val="left"/>
              <w:rPr>
                <w:rFonts w:ascii="Times New Roman" w:hAnsi="Times New Roman" w:cs="Times New Roman"/>
              </w:rPr>
            </w:pPr>
            <w:r>
              <w:rPr>
                <w:rFonts w:ascii="Times New Roman" w:hAnsi="Times New Roman" w:cs="Times New Roman"/>
              </w:rPr>
              <w:t>2022 – 12,426 t</w:t>
            </w:r>
          </w:p>
          <w:p w14:paraId="227521A5" w14:textId="77777777" w:rsidR="008312AA" w:rsidRDefault="00000000">
            <w:pPr>
              <w:jc w:val="left"/>
              <w:rPr>
                <w:rFonts w:ascii="Times New Roman" w:hAnsi="Times New Roman" w:cs="Times New Roman"/>
              </w:rPr>
            </w:pPr>
            <w:r>
              <w:rPr>
                <w:rFonts w:ascii="Times New Roman" w:hAnsi="Times New Roman" w:cs="Times New Roman"/>
              </w:rPr>
              <w:t>2021 – 9,889 t</w:t>
            </w:r>
          </w:p>
          <w:p w14:paraId="029881CD" w14:textId="77777777" w:rsidR="008312AA" w:rsidRDefault="00000000">
            <w:pPr>
              <w:jc w:val="left"/>
              <w:rPr>
                <w:rFonts w:ascii="Times New Roman" w:hAnsi="Times New Roman" w:cs="Times New Roman"/>
              </w:rPr>
            </w:pPr>
            <w:r>
              <w:rPr>
                <w:rFonts w:ascii="Times New Roman" w:hAnsi="Times New Roman" w:cs="Times New Roman"/>
              </w:rPr>
              <w:t>2020 – 15,844 t</w:t>
            </w:r>
          </w:p>
          <w:p w14:paraId="2FB84B33" w14:textId="77777777" w:rsidR="008312AA" w:rsidRDefault="00000000">
            <w:pPr>
              <w:jc w:val="left"/>
              <w:rPr>
                <w:rFonts w:ascii="Times New Roman" w:hAnsi="Times New Roman" w:cs="Times New Roman"/>
              </w:rPr>
            </w:pPr>
            <w:r>
              <w:rPr>
                <w:rFonts w:ascii="Times New Roman" w:hAnsi="Times New Roman" w:cs="Times New Roman"/>
              </w:rPr>
              <w:t>2019 – 11,642 t</w:t>
            </w:r>
          </w:p>
        </w:tc>
      </w:tr>
      <w:tr w:rsidR="008312AA" w14:paraId="204BDBAA"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3EEBA63" w14:textId="77777777" w:rsidR="008312AA" w:rsidRDefault="00000000">
            <w:pPr>
              <w:jc w:val="left"/>
              <w:rPr>
                <w:rFonts w:ascii="Times New Roman" w:hAnsi="Times New Roman" w:cs="Times New Roman"/>
              </w:rPr>
            </w:pPr>
            <w:r>
              <w:rPr>
                <w:rFonts w:ascii="Times New Roman" w:eastAsia="Times New Roman" w:hAnsi="Times New Roman" w:cs="Times New Roman"/>
                <w:b/>
                <w:bCs/>
              </w:rPr>
              <w:t>Looduslikud tingimused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28715EBA" w14:textId="77777777" w:rsidR="008312AA" w:rsidRDefault="00000000">
            <w:pPr>
              <w:jc w:val="left"/>
              <w:rPr>
                <w:rFonts w:ascii="Times New Roman" w:hAnsi="Times New Roman" w:cs="Times New Roman"/>
              </w:rPr>
            </w:pPr>
            <w:r>
              <w:rPr>
                <w:rFonts w:ascii="Times New Roman" w:hAnsi="Times New Roman" w:cs="Times New Roman"/>
              </w:rPr>
              <w:t>Tuulte eest varjatud</w:t>
            </w:r>
          </w:p>
        </w:tc>
      </w:tr>
      <w:tr w:rsidR="008312AA" w14:paraId="28D5F684" w14:textId="77777777">
        <w:tc>
          <w:tcPr>
            <w:tcW w:w="3402" w:type="dxa"/>
            <w:tcBorders>
              <w:top w:val="single" w:sz="8" w:space="0" w:color="FFFF00"/>
              <w:left w:val="single" w:sz="8" w:space="0" w:color="FFFF00"/>
              <w:bottom w:val="single" w:sz="8" w:space="0" w:color="FFFF00"/>
            </w:tcBorders>
            <w:shd w:val="clear" w:color="auto" w:fill="auto"/>
          </w:tcPr>
          <w:p w14:paraId="1936D74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Juurdepääsutee</w:t>
            </w:r>
          </w:p>
        </w:tc>
        <w:tc>
          <w:tcPr>
            <w:tcW w:w="6213" w:type="dxa"/>
            <w:tcBorders>
              <w:top w:val="single" w:sz="8" w:space="0" w:color="FFFF00"/>
              <w:bottom w:val="single" w:sz="8" w:space="0" w:color="FFFF00"/>
              <w:right w:val="single" w:sz="8" w:space="0" w:color="FFFF00"/>
            </w:tcBorders>
            <w:shd w:val="clear" w:color="auto" w:fill="auto"/>
          </w:tcPr>
          <w:p w14:paraId="67EDCCC8" w14:textId="77777777" w:rsidR="008312AA" w:rsidRDefault="00000000">
            <w:pPr>
              <w:jc w:val="left"/>
              <w:rPr>
                <w:rFonts w:ascii="Times New Roman" w:hAnsi="Times New Roman" w:cs="Times New Roman"/>
              </w:rPr>
            </w:pPr>
            <w:r>
              <w:rPr>
                <w:rFonts w:ascii="Times New Roman" w:hAnsi="Times New Roman" w:cs="Times New Roman"/>
              </w:rPr>
              <w:t>Väga hea, asfalttee sadama kõrval</w:t>
            </w:r>
          </w:p>
        </w:tc>
      </w:tr>
      <w:tr w:rsidR="008312AA" w14:paraId="2C40A1C7"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335EE1F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Kas ja millised on sadamas kala hoiustamise- ja töötlemisvõimalused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A0FD3E3" w14:textId="77777777" w:rsidR="008312AA" w:rsidRDefault="00000000">
            <w:pPr>
              <w:jc w:val="left"/>
              <w:rPr>
                <w:rFonts w:ascii="Times New Roman" w:hAnsi="Times New Roman" w:cs="Times New Roman"/>
              </w:rPr>
            </w:pPr>
            <w:r>
              <w:rPr>
                <w:rFonts w:ascii="Times New Roman" w:hAnsi="Times New Roman" w:cs="Times New Roman"/>
              </w:rPr>
              <w:t>Puuduvad</w:t>
            </w:r>
          </w:p>
        </w:tc>
      </w:tr>
      <w:tr w:rsidR="008312AA" w14:paraId="0825D32E" w14:textId="77777777">
        <w:tc>
          <w:tcPr>
            <w:tcW w:w="3402" w:type="dxa"/>
            <w:tcBorders>
              <w:top w:val="single" w:sz="8" w:space="0" w:color="FFFF00"/>
              <w:left w:val="single" w:sz="8" w:space="0" w:color="FFFF00"/>
              <w:bottom w:val="single" w:sz="8" w:space="0" w:color="FFFF00"/>
            </w:tcBorders>
            <w:shd w:val="clear" w:color="auto" w:fill="auto"/>
          </w:tcPr>
          <w:p w14:paraId="468B21D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Mittekalapüügiga seotud tegevused ja täiendava tulu teenimise võimalused.</w:t>
            </w:r>
          </w:p>
        </w:tc>
        <w:tc>
          <w:tcPr>
            <w:tcW w:w="6213" w:type="dxa"/>
            <w:tcBorders>
              <w:top w:val="single" w:sz="8" w:space="0" w:color="FFFF00"/>
              <w:bottom w:val="single" w:sz="8" w:space="0" w:color="FFFF00"/>
              <w:right w:val="single" w:sz="8" w:space="0" w:color="FFFF00"/>
            </w:tcBorders>
            <w:shd w:val="clear" w:color="auto" w:fill="auto"/>
          </w:tcPr>
          <w:p w14:paraId="629EFB91" w14:textId="77777777" w:rsidR="008312AA" w:rsidRDefault="00000000">
            <w:pPr>
              <w:jc w:val="left"/>
              <w:rPr>
                <w:rFonts w:ascii="Times New Roman" w:hAnsi="Times New Roman" w:cs="Times New Roman"/>
              </w:rPr>
            </w:pPr>
            <w:r>
              <w:rPr>
                <w:rFonts w:ascii="Times New Roman" w:hAnsi="Times New Roman" w:cs="Times New Roman"/>
              </w:rPr>
              <w:t>Puuduvad</w:t>
            </w:r>
          </w:p>
        </w:tc>
      </w:tr>
      <w:tr w:rsidR="008312AA" w14:paraId="06C2A78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E23359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Tehniline olukord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7CBF6AA" w14:textId="77777777" w:rsidR="008312AA" w:rsidRDefault="00000000">
            <w:pPr>
              <w:jc w:val="left"/>
              <w:rPr>
                <w:rFonts w:ascii="Times New Roman" w:hAnsi="Times New Roman" w:cs="Times New Roman"/>
              </w:rPr>
            </w:pPr>
            <w:r>
              <w:rPr>
                <w:rFonts w:ascii="Times New Roman" w:hAnsi="Times New Roman" w:cs="Times New Roman"/>
              </w:rPr>
              <w:t>Väga hea</w:t>
            </w:r>
          </w:p>
        </w:tc>
      </w:tr>
      <w:tr w:rsidR="008312AA" w14:paraId="65E3407E" w14:textId="77777777">
        <w:tc>
          <w:tcPr>
            <w:tcW w:w="3402" w:type="dxa"/>
            <w:tcBorders>
              <w:top w:val="single" w:sz="8" w:space="0" w:color="FFFF00"/>
              <w:left w:val="single" w:sz="8" w:space="0" w:color="FFFF00"/>
              <w:bottom w:val="single" w:sz="8" w:space="0" w:color="FFFF00"/>
            </w:tcBorders>
            <w:shd w:val="clear" w:color="auto" w:fill="auto"/>
          </w:tcPr>
          <w:p w14:paraId="74A2DD95"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Tehtud investeeringud</w:t>
            </w:r>
          </w:p>
        </w:tc>
        <w:tc>
          <w:tcPr>
            <w:tcW w:w="6213" w:type="dxa"/>
            <w:tcBorders>
              <w:top w:val="single" w:sz="8" w:space="0" w:color="FFFF00"/>
              <w:bottom w:val="single" w:sz="8" w:space="0" w:color="FFFF00"/>
              <w:right w:val="single" w:sz="8" w:space="0" w:color="FFFF00"/>
            </w:tcBorders>
            <w:shd w:val="clear" w:color="auto" w:fill="auto"/>
          </w:tcPr>
          <w:p w14:paraId="271B85A8" w14:textId="77777777" w:rsidR="008312AA" w:rsidRDefault="00000000">
            <w:pPr>
              <w:jc w:val="left"/>
              <w:rPr>
                <w:rFonts w:ascii="Times New Roman" w:hAnsi="Times New Roman" w:cs="Times New Roman"/>
              </w:rPr>
            </w:pPr>
            <w:r>
              <w:rPr>
                <w:rFonts w:ascii="Times New Roman" w:hAnsi="Times New Roman" w:cs="Times New Roman"/>
              </w:rPr>
              <w:t xml:space="preserve">Ehitatud on uued kaid ja </w:t>
            </w:r>
            <w:proofErr w:type="spellStart"/>
            <w:r>
              <w:rPr>
                <w:rFonts w:ascii="Times New Roman" w:hAnsi="Times New Roman" w:cs="Times New Roman"/>
              </w:rPr>
              <w:t>slipp</w:t>
            </w:r>
            <w:proofErr w:type="spellEnd"/>
            <w:r>
              <w:rPr>
                <w:rFonts w:ascii="Times New Roman" w:hAnsi="Times New Roman" w:cs="Times New Roman"/>
              </w:rPr>
              <w:t>.</w:t>
            </w:r>
          </w:p>
        </w:tc>
      </w:tr>
      <w:tr w:rsidR="008312AA" w14:paraId="4C0F6BB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5A2E0008"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Investeeringu plaanid ja vajadused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1C42014" w14:textId="77777777" w:rsidR="008312AA" w:rsidRDefault="00000000">
            <w:pPr>
              <w:jc w:val="left"/>
              <w:rPr>
                <w:rFonts w:ascii="Times New Roman" w:hAnsi="Times New Roman" w:cs="Times New Roman"/>
              </w:rPr>
            </w:pPr>
            <w:r>
              <w:rPr>
                <w:rFonts w:ascii="Times New Roman" w:hAnsi="Times New Roman" w:cs="Times New Roman"/>
              </w:rPr>
              <w:t>Sadamaakvatooriumi laiendamine ja sadamakaide juurde ehitamine kuna paadikohti on liiga vähe.</w:t>
            </w:r>
          </w:p>
        </w:tc>
      </w:tr>
      <w:tr w:rsidR="008312AA" w14:paraId="2FFC9CD5" w14:textId="77777777">
        <w:tc>
          <w:tcPr>
            <w:tcW w:w="3402" w:type="dxa"/>
            <w:tcBorders>
              <w:top w:val="single" w:sz="8" w:space="0" w:color="FFFF00"/>
              <w:left w:val="single" w:sz="8" w:space="0" w:color="FFFF00"/>
              <w:bottom w:val="single" w:sz="8" w:space="0" w:color="FFFF00"/>
            </w:tcBorders>
            <w:shd w:val="clear" w:color="auto" w:fill="auto"/>
          </w:tcPr>
          <w:p w14:paraId="06A349A2"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Prognoositav investeeringute maksumus</w:t>
            </w:r>
          </w:p>
        </w:tc>
        <w:tc>
          <w:tcPr>
            <w:tcW w:w="6213" w:type="dxa"/>
            <w:tcBorders>
              <w:top w:val="single" w:sz="8" w:space="0" w:color="FFFF00"/>
              <w:bottom w:val="single" w:sz="8" w:space="0" w:color="FFFF00"/>
              <w:right w:val="single" w:sz="8" w:space="0" w:color="FFFF00"/>
            </w:tcBorders>
            <w:shd w:val="clear" w:color="auto" w:fill="auto"/>
          </w:tcPr>
          <w:p w14:paraId="414C87A5" w14:textId="77777777" w:rsidR="008312AA" w:rsidRDefault="00000000">
            <w:pPr>
              <w:snapToGrid w:val="0"/>
              <w:jc w:val="left"/>
              <w:rPr>
                <w:rFonts w:ascii="Times New Roman" w:hAnsi="Times New Roman" w:cs="Times New Roman"/>
                <w:color w:val="000000"/>
              </w:rPr>
            </w:pPr>
            <w:r>
              <w:rPr>
                <w:rFonts w:ascii="Times New Roman" w:hAnsi="Times New Roman" w:cs="Times New Roman"/>
                <w:color w:val="000000"/>
              </w:rPr>
              <w:t>400 000 €</w:t>
            </w:r>
          </w:p>
        </w:tc>
      </w:tr>
      <w:tr w:rsidR="008312AA" w14:paraId="0B40703D" w14:textId="77777777">
        <w:tc>
          <w:tcPr>
            <w:tcW w:w="3402" w:type="dxa"/>
            <w:tcBorders>
              <w:left w:val="single" w:sz="8" w:space="0" w:color="FFFF00"/>
              <w:bottom w:val="single" w:sz="8" w:space="0" w:color="FFFF00"/>
            </w:tcBorders>
            <w:shd w:val="clear" w:color="auto" w:fill="D9E2F3" w:themeFill="accent1" w:themeFillTint="33"/>
          </w:tcPr>
          <w:p w14:paraId="091973B2"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Valiku põhjendus</w:t>
            </w:r>
          </w:p>
        </w:tc>
        <w:tc>
          <w:tcPr>
            <w:tcW w:w="6213" w:type="dxa"/>
            <w:tcBorders>
              <w:bottom w:val="single" w:sz="8" w:space="0" w:color="FFFF00"/>
              <w:right w:val="single" w:sz="8" w:space="0" w:color="FFFF00"/>
            </w:tcBorders>
            <w:shd w:val="clear" w:color="auto" w:fill="D9E2F3" w:themeFill="accent1" w:themeFillTint="33"/>
          </w:tcPr>
          <w:p w14:paraId="30781EC0" w14:textId="77777777" w:rsidR="008312AA" w:rsidRDefault="00000000">
            <w:pPr>
              <w:snapToGrid w:val="0"/>
              <w:jc w:val="left"/>
              <w:rPr>
                <w:rFonts w:ascii="Times New Roman" w:eastAsia="Times New Roman" w:hAnsi="Times New Roman" w:cs="Times New Roman"/>
                <w:iCs/>
              </w:rPr>
            </w:pPr>
            <w:r>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Pr>
                <w:rFonts w:ascii="Times New Roman" w:hAnsi="Times New Roman" w:cs="Times New Roman"/>
              </w:rPr>
              <w:t>Saaremaa kalanduspiirkonna üldistest kalasaakidest tulenevalt peab toetust saavate kalasadamate lossimiskogus aastas olema vähemalt 5 tonni.</w:t>
            </w:r>
          </w:p>
        </w:tc>
      </w:tr>
    </w:tbl>
    <w:p w14:paraId="421E8863" w14:textId="77777777" w:rsidR="008312AA" w:rsidRDefault="008312AA">
      <w:pPr>
        <w:jc w:val="left"/>
        <w:rPr>
          <w:rFonts w:ascii="Times New Roman" w:hAnsi="Times New Roman" w:cs="Times New Roman"/>
        </w:rPr>
      </w:pPr>
    </w:p>
    <w:tbl>
      <w:tblPr>
        <w:tblW w:w="9616" w:type="dxa"/>
        <w:tblInd w:w="-11" w:type="dxa"/>
        <w:tblLayout w:type="fixed"/>
        <w:tblLook w:val="0000" w:firstRow="0" w:lastRow="0" w:firstColumn="0" w:lastColumn="0" w:noHBand="0" w:noVBand="0"/>
      </w:tblPr>
      <w:tblGrid>
        <w:gridCol w:w="3402"/>
        <w:gridCol w:w="6214"/>
      </w:tblGrid>
      <w:tr w:rsidR="008312AA" w14:paraId="0B115BD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8630898" w14:textId="77777777" w:rsidR="008312AA" w:rsidRDefault="00000000">
            <w:pPr>
              <w:jc w:val="left"/>
              <w:rPr>
                <w:rFonts w:ascii="Times New Roman" w:eastAsia="Times New Roman" w:hAnsi="Times New Roman" w:cs="Times New Roman"/>
                <w:b/>
                <w:bCs/>
                <w:shd w:val="clear" w:color="auto" w:fill="FFFF00"/>
              </w:rPr>
            </w:pPr>
            <w:r>
              <w:rPr>
                <w:rFonts w:ascii="Times New Roman" w:eastAsia="Times New Roman" w:hAnsi="Times New Roman" w:cs="Times New Roman"/>
                <w:b/>
                <w:bCs/>
                <w:highlight w:val="cyan"/>
                <w:shd w:val="clear" w:color="auto" w:fill="FFFF00"/>
              </w:rPr>
              <w:t>Sadam</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A4D85C2" w14:textId="77777777" w:rsidR="008312AA" w:rsidRDefault="00000000">
            <w:pPr>
              <w:jc w:val="left"/>
              <w:rPr>
                <w:rFonts w:ascii="Times New Roman" w:hAnsi="Times New Roman" w:cs="Times New Roman"/>
              </w:rPr>
            </w:pPr>
            <w:r>
              <w:rPr>
                <w:rFonts w:ascii="Times New Roman" w:eastAsia="Times New Roman" w:hAnsi="Times New Roman" w:cs="Times New Roman"/>
                <w:b/>
                <w:bCs/>
                <w:highlight w:val="cyan"/>
                <w:shd w:val="clear" w:color="auto" w:fill="FFFF00"/>
              </w:rPr>
              <w:t>Turja sadam</w:t>
            </w:r>
          </w:p>
        </w:tc>
      </w:tr>
      <w:tr w:rsidR="008312AA" w14:paraId="1401FC6B" w14:textId="77777777">
        <w:tc>
          <w:tcPr>
            <w:tcW w:w="3402" w:type="dxa"/>
            <w:tcBorders>
              <w:top w:val="single" w:sz="8" w:space="0" w:color="FFFF00"/>
              <w:left w:val="single" w:sz="8" w:space="0" w:color="FFFF00"/>
              <w:bottom w:val="single" w:sz="8" w:space="0" w:color="FFFF00"/>
            </w:tcBorders>
            <w:shd w:val="clear" w:color="auto" w:fill="auto"/>
          </w:tcPr>
          <w:p w14:paraId="33FC099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Asukoht</w:t>
            </w:r>
          </w:p>
        </w:tc>
        <w:tc>
          <w:tcPr>
            <w:tcW w:w="6213" w:type="dxa"/>
            <w:tcBorders>
              <w:top w:val="single" w:sz="8" w:space="0" w:color="FFFF00"/>
              <w:bottom w:val="single" w:sz="8" w:space="0" w:color="FFFF00"/>
              <w:right w:val="single" w:sz="8" w:space="0" w:color="FFFF00"/>
            </w:tcBorders>
            <w:shd w:val="clear" w:color="auto" w:fill="auto"/>
          </w:tcPr>
          <w:p w14:paraId="670997B6" w14:textId="77777777" w:rsidR="008312AA" w:rsidRDefault="00000000">
            <w:pPr>
              <w:spacing w:line="276" w:lineRule="auto"/>
              <w:jc w:val="left"/>
              <w:rPr>
                <w:rFonts w:ascii="Times New Roman" w:hAnsi="Times New Roman" w:cs="Times New Roman"/>
              </w:rPr>
            </w:pPr>
            <w:proofErr w:type="spellStart"/>
            <w:r>
              <w:rPr>
                <w:rFonts w:ascii="Times New Roman" w:hAnsi="Times New Roman" w:cs="Times New Roman"/>
              </w:rPr>
              <w:t>Aadress:Saare</w:t>
            </w:r>
            <w:proofErr w:type="spellEnd"/>
            <w:r>
              <w:rPr>
                <w:rFonts w:ascii="Times New Roman" w:hAnsi="Times New Roman" w:cs="Times New Roman"/>
              </w:rPr>
              <w:t xml:space="preserve"> maakond, Saaremaa vald, Turja küla, Sadama</w:t>
            </w:r>
          </w:p>
          <w:p w14:paraId="760E0C7D" w14:textId="77777777" w:rsidR="008312AA" w:rsidRDefault="00000000">
            <w:pPr>
              <w:jc w:val="left"/>
              <w:rPr>
                <w:rFonts w:ascii="Times New Roman" w:hAnsi="Times New Roman" w:cs="Times New Roman"/>
              </w:rPr>
            </w:pPr>
            <w:r>
              <w:rPr>
                <w:rFonts w:ascii="Times New Roman" w:hAnsi="Times New Roman" w:cs="Times New Roman"/>
              </w:rPr>
              <w:t xml:space="preserve">Kat üksus: 85801:005:0078. Sadamaregistri link:  </w:t>
            </w:r>
            <w:hyperlink r:id="rId116">
              <w:r>
                <w:rPr>
                  <w:rStyle w:val="Hperlink"/>
                  <w:rFonts w:ascii="Times New Roman" w:hAnsi="Times New Roman" w:cs="Times New Roman"/>
                </w:rPr>
                <w:t>https://www.sadamaregister.ee/sadam/2122</w:t>
              </w:r>
            </w:hyperlink>
            <w:r>
              <w:rPr>
                <w:rFonts w:ascii="Times New Roman" w:hAnsi="Times New Roman" w:cs="Times New Roman"/>
              </w:rPr>
              <w:t xml:space="preserve"> </w:t>
            </w:r>
          </w:p>
        </w:tc>
      </w:tr>
      <w:tr w:rsidR="008312AA" w14:paraId="01DBA011"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B3D42A7" w14:textId="77777777" w:rsidR="008312AA" w:rsidRDefault="00000000">
            <w:pPr>
              <w:jc w:val="left"/>
              <w:rPr>
                <w:rFonts w:ascii="Times New Roman" w:hAnsi="Times New Roman" w:cs="Times New Roman"/>
              </w:rPr>
            </w:pPr>
            <w:r>
              <w:rPr>
                <w:rFonts w:ascii="Times New Roman" w:eastAsia="Times New Roman" w:hAnsi="Times New Roman" w:cs="Times New Roman"/>
                <w:b/>
                <w:bCs/>
              </w:rPr>
              <w:lastRenderedPageBreak/>
              <w:t>Kaide äärne sügavus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832D9D5" w14:textId="77777777" w:rsidR="008312AA" w:rsidRDefault="00000000">
            <w:pPr>
              <w:jc w:val="left"/>
              <w:rPr>
                <w:rFonts w:ascii="Times New Roman" w:hAnsi="Times New Roman" w:cs="Times New Roman"/>
              </w:rPr>
            </w:pPr>
            <w:r>
              <w:rPr>
                <w:rFonts w:ascii="Times New Roman" w:hAnsi="Times New Roman" w:cs="Times New Roman"/>
              </w:rPr>
              <w:t>1,5 m</w:t>
            </w:r>
          </w:p>
        </w:tc>
      </w:tr>
      <w:tr w:rsidR="008312AA" w14:paraId="2D5B8584" w14:textId="77777777">
        <w:tc>
          <w:tcPr>
            <w:tcW w:w="3402" w:type="dxa"/>
            <w:tcBorders>
              <w:top w:val="single" w:sz="8" w:space="0" w:color="FFFF00"/>
              <w:left w:val="single" w:sz="8" w:space="0" w:color="FFFF00"/>
              <w:bottom w:val="single" w:sz="8" w:space="0" w:color="FFFF00"/>
            </w:tcBorders>
            <w:shd w:val="clear" w:color="auto" w:fill="auto"/>
          </w:tcPr>
          <w:p w14:paraId="61985DE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Akvatooriumi suurus</w:t>
            </w:r>
          </w:p>
        </w:tc>
        <w:tc>
          <w:tcPr>
            <w:tcW w:w="6213" w:type="dxa"/>
            <w:tcBorders>
              <w:top w:val="single" w:sz="8" w:space="0" w:color="FFFF00"/>
              <w:bottom w:val="single" w:sz="8" w:space="0" w:color="FFFF00"/>
              <w:right w:val="single" w:sz="8" w:space="0" w:color="FFFF00"/>
            </w:tcBorders>
            <w:shd w:val="clear" w:color="auto" w:fill="auto"/>
          </w:tcPr>
          <w:p w14:paraId="2D583E51" w14:textId="77777777" w:rsidR="008312AA" w:rsidRDefault="00000000">
            <w:pPr>
              <w:jc w:val="left"/>
              <w:rPr>
                <w:rFonts w:ascii="Times New Roman" w:hAnsi="Times New Roman" w:cs="Times New Roman"/>
              </w:rPr>
            </w:pPr>
            <w:r>
              <w:rPr>
                <w:rFonts w:ascii="Times New Roman" w:hAnsi="Times New Roman" w:cs="Times New Roman"/>
              </w:rPr>
              <w:t>8500 m</w:t>
            </w:r>
          </w:p>
        </w:tc>
      </w:tr>
      <w:tr w:rsidR="008312AA" w14:paraId="7B815202"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B1DD57F"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 territooriumi suurus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29439FC" w14:textId="77777777" w:rsidR="008312AA" w:rsidRDefault="00000000">
            <w:pPr>
              <w:jc w:val="left"/>
              <w:rPr>
                <w:rFonts w:ascii="Times New Roman" w:hAnsi="Times New Roman" w:cs="Times New Roman"/>
              </w:rPr>
            </w:pPr>
            <w:r>
              <w:rPr>
                <w:rFonts w:ascii="Times New Roman" w:hAnsi="Times New Roman" w:cs="Times New Roman"/>
              </w:rPr>
              <w:t>0,5380</w:t>
            </w:r>
            <w:r>
              <w:rPr>
                <w:rFonts w:ascii="Times New Roman" w:eastAsia="Times New Roman" w:hAnsi="Times New Roman" w:cs="Times New Roman"/>
              </w:rPr>
              <w:t xml:space="preserve"> ha</w:t>
            </w:r>
          </w:p>
        </w:tc>
      </w:tr>
      <w:tr w:rsidR="008312AA" w14:paraId="432F7E64" w14:textId="77777777">
        <w:tc>
          <w:tcPr>
            <w:tcW w:w="3402" w:type="dxa"/>
            <w:tcBorders>
              <w:top w:val="single" w:sz="8" w:space="0" w:color="FFFF00"/>
              <w:left w:val="single" w:sz="8" w:space="0" w:color="FFFF00"/>
              <w:bottom w:val="single" w:sz="8" w:space="0" w:color="FFFF00"/>
            </w:tcBorders>
            <w:shd w:val="clear" w:color="auto" w:fill="auto"/>
          </w:tcPr>
          <w:p w14:paraId="2B341249"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Sadamat kasutava laevastiku kirjeldus (segmendid)</w:t>
            </w:r>
          </w:p>
        </w:tc>
        <w:tc>
          <w:tcPr>
            <w:tcW w:w="6213" w:type="dxa"/>
            <w:tcBorders>
              <w:top w:val="single" w:sz="8" w:space="0" w:color="FFFF00"/>
              <w:bottom w:val="single" w:sz="8" w:space="0" w:color="FFFF00"/>
              <w:right w:val="single" w:sz="8" w:space="0" w:color="FFFF00"/>
            </w:tcBorders>
            <w:shd w:val="clear" w:color="auto" w:fill="auto"/>
          </w:tcPr>
          <w:p w14:paraId="07AE423B" w14:textId="77777777" w:rsidR="008312AA" w:rsidRDefault="00000000">
            <w:pPr>
              <w:jc w:val="left"/>
              <w:rPr>
                <w:rFonts w:ascii="Times New Roman" w:hAnsi="Times New Roman" w:cs="Times New Roman"/>
              </w:rPr>
            </w:pPr>
            <w:r>
              <w:rPr>
                <w:rFonts w:ascii="Times New Roman" w:hAnsi="Times New Roman" w:cs="Times New Roman"/>
              </w:rPr>
              <w:t>Kalalaevad 4S2</w:t>
            </w:r>
          </w:p>
        </w:tc>
      </w:tr>
      <w:tr w:rsidR="008312AA" w14:paraId="1F0C9A83"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0109B92"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Sadamapidaja kontaktid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82CF053" w14:textId="77777777" w:rsidR="008312AA" w:rsidRDefault="00000000">
            <w:pPr>
              <w:jc w:val="left"/>
              <w:rPr>
                <w:rFonts w:ascii="Times New Roman" w:hAnsi="Times New Roman" w:cs="Times New Roman"/>
              </w:rPr>
            </w:pPr>
            <w:r>
              <w:rPr>
                <w:rFonts w:ascii="Times New Roman" w:hAnsi="Times New Roman" w:cs="Times New Roman"/>
              </w:rPr>
              <w:t>MTÜ Turja Kalastajate Selts (80400854), Indrek Iljas, Rait Pitk, 5698 2579, 5680 4896, sadamturja@gmail.com</w:t>
            </w:r>
          </w:p>
        </w:tc>
      </w:tr>
      <w:tr w:rsidR="008312AA" w14:paraId="3C740590" w14:textId="77777777">
        <w:tc>
          <w:tcPr>
            <w:tcW w:w="3402" w:type="dxa"/>
            <w:tcBorders>
              <w:top w:val="single" w:sz="8" w:space="0" w:color="FFFF00"/>
              <w:left w:val="single" w:sz="8" w:space="0" w:color="FFFF00"/>
              <w:bottom w:val="single" w:sz="8" w:space="0" w:color="FFFF00"/>
            </w:tcBorders>
            <w:shd w:val="clear" w:color="auto" w:fill="auto"/>
          </w:tcPr>
          <w:p w14:paraId="41905ED1"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Milline on sadama kasutusaktiivsus sh püügivõimalused</w:t>
            </w:r>
          </w:p>
        </w:tc>
        <w:tc>
          <w:tcPr>
            <w:tcW w:w="6213" w:type="dxa"/>
            <w:tcBorders>
              <w:top w:val="single" w:sz="8" w:space="0" w:color="FFFF00"/>
              <w:bottom w:val="single" w:sz="8" w:space="0" w:color="FFFF00"/>
              <w:right w:val="single" w:sz="8" w:space="0" w:color="FFFF00"/>
            </w:tcBorders>
            <w:shd w:val="clear" w:color="auto" w:fill="auto"/>
          </w:tcPr>
          <w:p w14:paraId="5A925FDA" w14:textId="77777777" w:rsidR="008312AA" w:rsidRDefault="00000000">
            <w:pPr>
              <w:jc w:val="left"/>
              <w:rPr>
                <w:rFonts w:ascii="Times New Roman" w:hAnsi="Times New Roman" w:cs="Times New Roman"/>
              </w:rPr>
            </w:pPr>
            <w:r>
              <w:rPr>
                <w:rFonts w:ascii="Times New Roman" w:hAnsi="Times New Roman" w:cs="Times New Roman"/>
              </w:rPr>
              <w:t>Aktiivne kasutus</w:t>
            </w:r>
          </w:p>
        </w:tc>
      </w:tr>
      <w:tr w:rsidR="008312AA" w14:paraId="494D1516"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A063735"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Püügiperioodi pikkus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B80DA8C" w14:textId="77777777" w:rsidR="008312AA" w:rsidRDefault="00000000">
            <w:pPr>
              <w:jc w:val="left"/>
              <w:rPr>
                <w:rFonts w:ascii="Times New Roman" w:hAnsi="Times New Roman" w:cs="Times New Roman"/>
              </w:rPr>
            </w:pPr>
            <w:r>
              <w:rPr>
                <w:rFonts w:ascii="Times New Roman" w:hAnsi="Times New Roman" w:cs="Times New Roman"/>
              </w:rPr>
              <w:t>Püügiperioodi pikkus on 8 kuud</w:t>
            </w:r>
          </w:p>
        </w:tc>
      </w:tr>
      <w:tr w:rsidR="008312AA" w14:paraId="42F5C5EB" w14:textId="77777777">
        <w:tc>
          <w:tcPr>
            <w:tcW w:w="3402" w:type="dxa"/>
            <w:tcBorders>
              <w:top w:val="single" w:sz="8" w:space="0" w:color="FFFF00"/>
              <w:left w:val="single" w:sz="8" w:space="0" w:color="FFFF00"/>
              <w:bottom w:val="single" w:sz="8" w:space="0" w:color="FFFF00"/>
            </w:tcBorders>
            <w:shd w:val="clear" w:color="auto" w:fill="auto"/>
          </w:tcPr>
          <w:p w14:paraId="2D2EB9F2" w14:textId="77777777" w:rsidR="008312AA" w:rsidRDefault="00000000">
            <w:pPr>
              <w:jc w:val="left"/>
              <w:rPr>
                <w:rFonts w:ascii="Times New Roman" w:hAnsi="Times New Roman" w:cs="Times New Roman"/>
              </w:rPr>
            </w:pPr>
            <w:r>
              <w:rPr>
                <w:rFonts w:ascii="Times New Roman" w:eastAsia="Times New Roman" w:hAnsi="Times New Roman" w:cs="Times New Roman"/>
                <w:b/>
                <w:bCs/>
              </w:rPr>
              <w:t>Omanikud</w:t>
            </w:r>
          </w:p>
        </w:tc>
        <w:tc>
          <w:tcPr>
            <w:tcW w:w="6213" w:type="dxa"/>
            <w:tcBorders>
              <w:top w:val="single" w:sz="8" w:space="0" w:color="FFFF00"/>
              <w:bottom w:val="single" w:sz="8" w:space="0" w:color="FFFF00"/>
              <w:right w:val="single" w:sz="8" w:space="0" w:color="FFFF00"/>
            </w:tcBorders>
            <w:shd w:val="clear" w:color="auto" w:fill="auto"/>
          </w:tcPr>
          <w:p w14:paraId="74A0414B" w14:textId="77777777" w:rsidR="008312AA" w:rsidRDefault="00000000">
            <w:pPr>
              <w:jc w:val="left"/>
              <w:rPr>
                <w:rFonts w:ascii="Times New Roman" w:hAnsi="Times New Roman" w:cs="Times New Roman"/>
              </w:rPr>
            </w:pPr>
            <w:r>
              <w:rPr>
                <w:rFonts w:ascii="Times New Roman" w:hAnsi="Times New Roman" w:cs="Times New Roman"/>
              </w:rPr>
              <w:t>Turja Kalastajate Selts MTÜ liikmed</w:t>
            </w:r>
          </w:p>
        </w:tc>
      </w:tr>
      <w:tr w:rsidR="008312AA" w14:paraId="0F05EA2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69B6A2F5"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kutseliste kalurite arv</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E968200" w14:textId="77777777" w:rsidR="008312AA" w:rsidRDefault="00000000">
            <w:pPr>
              <w:jc w:val="left"/>
              <w:rPr>
                <w:rFonts w:ascii="Times New Roman" w:hAnsi="Times New Roman" w:cs="Times New Roman"/>
              </w:rPr>
            </w:pPr>
            <w:r>
              <w:rPr>
                <w:rFonts w:ascii="Times New Roman" w:hAnsi="Times New Roman" w:cs="Times New Roman"/>
              </w:rPr>
              <w:t>14</w:t>
            </w:r>
          </w:p>
        </w:tc>
      </w:tr>
      <w:tr w:rsidR="008312AA" w14:paraId="25426623" w14:textId="77777777">
        <w:tc>
          <w:tcPr>
            <w:tcW w:w="3402" w:type="dxa"/>
            <w:tcBorders>
              <w:top w:val="single" w:sz="8" w:space="0" w:color="FFFF00"/>
              <w:left w:val="single" w:sz="8" w:space="0" w:color="FFFF00"/>
              <w:bottom w:val="single" w:sz="8" w:space="0" w:color="FFFF00"/>
            </w:tcBorders>
            <w:shd w:val="clear" w:color="auto" w:fill="auto"/>
          </w:tcPr>
          <w:p w14:paraId="70F5B8AE"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Sadamat kasutavate harrastuskalurite arv</w:t>
            </w:r>
          </w:p>
        </w:tc>
        <w:tc>
          <w:tcPr>
            <w:tcW w:w="6213" w:type="dxa"/>
            <w:tcBorders>
              <w:top w:val="single" w:sz="8" w:space="0" w:color="FFFF00"/>
              <w:bottom w:val="single" w:sz="8" w:space="0" w:color="FFFF00"/>
              <w:right w:val="single" w:sz="8" w:space="0" w:color="FFFF00"/>
            </w:tcBorders>
            <w:shd w:val="clear" w:color="auto" w:fill="auto"/>
          </w:tcPr>
          <w:p w14:paraId="1DBAE07A" w14:textId="77777777" w:rsidR="008312AA" w:rsidRDefault="00000000">
            <w:pPr>
              <w:jc w:val="left"/>
              <w:rPr>
                <w:rFonts w:ascii="Times New Roman" w:hAnsi="Times New Roman" w:cs="Times New Roman"/>
              </w:rPr>
            </w:pPr>
            <w:r>
              <w:rPr>
                <w:rFonts w:ascii="Times New Roman" w:hAnsi="Times New Roman" w:cs="Times New Roman"/>
              </w:rPr>
              <w:t>36</w:t>
            </w:r>
          </w:p>
        </w:tc>
      </w:tr>
      <w:tr w:rsidR="008312AA" w14:paraId="6877A2A4"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F5520EE" w14:textId="77777777" w:rsidR="008312AA" w:rsidRDefault="00000000">
            <w:pPr>
              <w:jc w:val="left"/>
              <w:rPr>
                <w:rFonts w:ascii="Times New Roman" w:eastAsia="Times New Roman" w:hAnsi="Times New Roman" w:cs="Times New Roman"/>
                <w:b/>
                <w:bCs/>
              </w:rPr>
            </w:pPr>
            <w:r>
              <w:rPr>
                <w:rFonts w:ascii="Times New Roman" w:hAnsi="Times New Roman" w:cs="Times New Roman"/>
                <w:b/>
                <w:bCs/>
              </w:rPr>
              <w:t>Sadamat kasutavate muude isikute arv ja mis eesmärgil sadamat kasutatakse (muud teenused sadamas)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FDD50F4" w14:textId="77777777" w:rsidR="008312AA" w:rsidRDefault="00000000">
            <w:pPr>
              <w:jc w:val="left"/>
              <w:rPr>
                <w:rFonts w:ascii="Times New Roman" w:hAnsi="Times New Roman" w:cs="Times New Roman"/>
              </w:rPr>
            </w:pPr>
            <w:r>
              <w:rPr>
                <w:rFonts w:ascii="Times New Roman" w:hAnsi="Times New Roman" w:cs="Times New Roman"/>
              </w:rPr>
              <w:t>70</w:t>
            </w:r>
          </w:p>
        </w:tc>
      </w:tr>
      <w:tr w:rsidR="008312AA" w14:paraId="45A20E93" w14:textId="77777777">
        <w:tc>
          <w:tcPr>
            <w:tcW w:w="3402" w:type="dxa"/>
            <w:tcBorders>
              <w:top w:val="single" w:sz="8" w:space="0" w:color="FFFF00"/>
              <w:left w:val="single" w:sz="8" w:space="0" w:color="FFFF00"/>
              <w:bottom w:val="single" w:sz="8" w:space="0" w:color="FFFF00"/>
            </w:tcBorders>
            <w:shd w:val="clear" w:color="auto" w:fill="auto"/>
          </w:tcPr>
          <w:p w14:paraId="50A74D1C"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kasutavad kalapaadid</w:t>
            </w:r>
          </w:p>
        </w:tc>
        <w:tc>
          <w:tcPr>
            <w:tcW w:w="6213" w:type="dxa"/>
            <w:tcBorders>
              <w:top w:val="single" w:sz="8" w:space="0" w:color="FFFF00"/>
              <w:bottom w:val="single" w:sz="8" w:space="0" w:color="FFFF00"/>
              <w:right w:val="single" w:sz="8" w:space="0" w:color="FFFF00"/>
            </w:tcBorders>
            <w:shd w:val="clear" w:color="auto" w:fill="auto"/>
          </w:tcPr>
          <w:p w14:paraId="3D461BB7" w14:textId="77777777" w:rsidR="008312AA" w:rsidRDefault="00000000">
            <w:pPr>
              <w:jc w:val="left"/>
              <w:rPr>
                <w:rFonts w:ascii="Times New Roman" w:hAnsi="Times New Roman" w:cs="Times New Roman"/>
              </w:rPr>
            </w:pPr>
            <w:r>
              <w:rPr>
                <w:rFonts w:ascii="Times New Roman" w:hAnsi="Times New Roman" w:cs="Times New Roman"/>
              </w:rPr>
              <w:t>8</w:t>
            </w:r>
          </w:p>
        </w:tc>
      </w:tr>
      <w:tr w:rsidR="008312AA" w14:paraId="14C18408"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516081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harrastajate paadid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9419A18" w14:textId="77777777" w:rsidR="008312AA" w:rsidRDefault="00000000">
            <w:pPr>
              <w:jc w:val="left"/>
              <w:rPr>
                <w:rFonts w:ascii="Times New Roman" w:hAnsi="Times New Roman" w:cs="Times New Roman"/>
              </w:rPr>
            </w:pPr>
            <w:r>
              <w:rPr>
                <w:rFonts w:ascii="Times New Roman" w:hAnsi="Times New Roman" w:cs="Times New Roman"/>
              </w:rPr>
              <w:t>6</w:t>
            </w:r>
          </w:p>
        </w:tc>
      </w:tr>
      <w:tr w:rsidR="008312AA" w14:paraId="74C04B15" w14:textId="77777777">
        <w:tc>
          <w:tcPr>
            <w:tcW w:w="3402" w:type="dxa"/>
            <w:tcBorders>
              <w:top w:val="single" w:sz="8" w:space="0" w:color="FFFF00"/>
              <w:left w:val="single" w:sz="8" w:space="0" w:color="FFFF00"/>
              <w:bottom w:val="single" w:sz="8" w:space="0" w:color="FFFF00"/>
            </w:tcBorders>
            <w:shd w:val="clear" w:color="auto" w:fill="auto"/>
          </w:tcPr>
          <w:p w14:paraId="5EF2DD4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Kaluri kalapüügiloaga lossimised viimased neli aastat</w:t>
            </w:r>
          </w:p>
        </w:tc>
        <w:tc>
          <w:tcPr>
            <w:tcW w:w="6213" w:type="dxa"/>
            <w:tcBorders>
              <w:top w:val="single" w:sz="8" w:space="0" w:color="FFFF00"/>
              <w:bottom w:val="single" w:sz="8" w:space="0" w:color="FFFF00"/>
              <w:right w:val="single" w:sz="8" w:space="0" w:color="FFFF00"/>
            </w:tcBorders>
            <w:shd w:val="clear" w:color="auto" w:fill="auto"/>
          </w:tcPr>
          <w:p w14:paraId="2620CE3B" w14:textId="77777777" w:rsidR="008312AA" w:rsidRDefault="00000000">
            <w:pPr>
              <w:jc w:val="left"/>
              <w:rPr>
                <w:rFonts w:ascii="Times New Roman" w:hAnsi="Times New Roman" w:cs="Times New Roman"/>
              </w:rPr>
            </w:pPr>
            <w:r>
              <w:rPr>
                <w:rFonts w:ascii="Times New Roman" w:hAnsi="Times New Roman" w:cs="Times New Roman"/>
              </w:rPr>
              <w:t>2022-16,598 t</w:t>
            </w:r>
          </w:p>
          <w:p w14:paraId="53947F8E" w14:textId="77777777" w:rsidR="008312AA" w:rsidRDefault="00000000">
            <w:pPr>
              <w:jc w:val="left"/>
              <w:rPr>
                <w:rFonts w:ascii="Times New Roman" w:hAnsi="Times New Roman" w:cs="Times New Roman"/>
              </w:rPr>
            </w:pPr>
            <w:r>
              <w:rPr>
                <w:rFonts w:ascii="Times New Roman" w:hAnsi="Times New Roman" w:cs="Times New Roman"/>
              </w:rPr>
              <w:t>2021- 8,672 t</w:t>
            </w:r>
          </w:p>
          <w:p w14:paraId="02EE476D" w14:textId="77777777" w:rsidR="008312AA" w:rsidRDefault="00000000">
            <w:pPr>
              <w:jc w:val="left"/>
              <w:rPr>
                <w:rFonts w:ascii="Times New Roman" w:hAnsi="Times New Roman" w:cs="Times New Roman"/>
              </w:rPr>
            </w:pPr>
            <w:r>
              <w:rPr>
                <w:rFonts w:ascii="Times New Roman" w:hAnsi="Times New Roman" w:cs="Times New Roman"/>
              </w:rPr>
              <w:t>2020- 10,432 t</w:t>
            </w:r>
          </w:p>
          <w:p w14:paraId="0A36D61A" w14:textId="77777777" w:rsidR="008312AA" w:rsidRDefault="00000000">
            <w:pPr>
              <w:jc w:val="left"/>
              <w:rPr>
                <w:rFonts w:ascii="Times New Roman" w:hAnsi="Times New Roman" w:cs="Times New Roman"/>
              </w:rPr>
            </w:pPr>
            <w:r>
              <w:rPr>
                <w:rFonts w:ascii="Times New Roman" w:hAnsi="Times New Roman" w:cs="Times New Roman"/>
              </w:rPr>
              <w:t>2019- 15,132 t</w:t>
            </w:r>
          </w:p>
        </w:tc>
      </w:tr>
      <w:tr w:rsidR="008312AA" w14:paraId="3DEBC94A"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00D58D6" w14:textId="77777777" w:rsidR="008312AA" w:rsidRDefault="00000000">
            <w:pPr>
              <w:jc w:val="left"/>
              <w:rPr>
                <w:rFonts w:ascii="Times New Roman" w:hAnsi="Times New Roman" w:cs="Times New Roman"/>
              </w:rPr>
            </w:pPr>
            <w:r>
              <w:rPr>
                <w:rFonts w:ascii="Times New Roman" w:eastAsia="Times New Roman" w:hAnsi="Times New Roman" w:cs="Times New Roman"/>
                <w:b/>
                <w:bCs/>
              </w:rPr>
              <w:t>Looduslikud tingimused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6B15C9CE" w14:textId="77777777" w:rsidR="008312AA" w:rsidRDefault="00000000">
            <w:pPr>
              <w:jc w:val="left"/>
              <w:rPr>
                <w:rFonts w:ascii="Times New Roman" w:hAnsi="Times New Roman" w:cs="Times New Roman"/>
              </w:rPr>
            </w:pPr>
            <w:r>
              <w:rPr>
                <w:rFonts w:ascii="Times New Roman" w:hAnsi="Times New Roman" w:cs="Times New Roman"/>
              </w:rPr>
              <w:t>Sadama asukoht on Saaremaa lõunaranniku varjulises lahes, kus madalike ja laidude tõttu on lainetuse tegevus minimaalne</w:t>
            </w:r>
          </w:p>
        </w:tc>
      </w:tr>
      <w:tr w:rsidR="008312AA" w14:paraId="054F7B31" w14:textId="77777777">
        <w:tc>
          <w:tcPr>
            <w:tcW w:w="3402" w:type="dxa"/>
            <w:tcBorders>
              <w:top w:val="single" w:sz="8" w:space="0" w:color="FFFF00"/>
              <w:left w:val="single" w:sz="8" w:space="0" w:color="FFFF00"/>
              <w:bottom w:val="single" w:sz="8" w:space="0" w:color="FFFF00"/>
            </w:tcBorders>
            <w:shd w:val="clear" w:color="auto" w:fill="auto"/>
          </w:tcPr>
          <w:p w14:paraId="1995F3A0" w14:textId="77777777" w:rsidR="008312AA" w:rsidRDefault="00000000">
            <w:pPr>
              <w:jc w:val="left"/>
              <w:rPr>
                <w:rFonts w:ascii="Times New Roman" w:hAnsi="Times New Roman" w:cs="Times New Roman"/>
              </w:rPr>
            </w:pPr>
            <w:r>
              <w:rPr>
                <w:rFonts w:ascii="Times New Roman" w:eastAsia="Times New Roman" w:hAnsi="Times New Roman" w:cs="Times New Roman"/>
                <w:b/>
                <w:bCs/>
              </w:rPr>
              <w:t>Juurdepääsutee</w:t>
            </w:r>
          </w:p>
        </w:tc>
        <w:tc>
          <w:tcPr>
            <w:tcW w:w="6213" w:type="dxa"/>
            <w:tcBorders>
              <w:top w:val="single" w:sz="8" w:space="0" w:color="FFFF00"/>
              <w:bottom w:val="single" w:sz="8" w:space="0" w:color="FFFF00"/>
              <w:right w:val="single" w:sz="8" w:space="0" w:color="FFFF00"/>
            </w:tcBorders>
            <w:shd w:val="clear" w:color="auto" w:fill="auto"/>
          </w:tcPr>
          <w:p w14:paraId="28B00F80" w14:textId="77777777" w:rsidR="008312AA" w:rsidRDefault="00000000">
            <w:pPr>
              <w:jc w:val="left"/>
              <w:rPr>
                <w:rFonts w:ascii="Times New Roman" w:hAnsi="Times New Roman" w:cs="Times New Roman"/>
              </w:rPr>
            </w:pPr>
            <w:r>
              <w:rPr>
                <w:rFonts w:ascii="Times New Roman" w:hAnsi="Times New Roman" w:cs="Times New Roman"/>
              </w:rPr>
              <w:t>Kruuskattega</w:t>
            </w:r>
          </w:p>
        </w:tc>
      </w:tr>
      <w:tr w:rsidR="008312AA" w14:paraId="3F32FBE5"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5535CA8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Kas ja millised on sadamas kala hoiustamise- ja töötlemisvõimalused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BA7CB68" w14:textId="77777777" w:rsidR="008312AA" w:rsidRDefault="00000000">
            <w:pPr>
              <w:jc w:val="left"/>
              <w:rPr>
                <w:rFonts w:ascii="Times New Roman" w:hAnsi="Times New Roman" w:cs="Times New Roman"/>
              </w:rPr>
            </w:pPr>
            <w:r>
              <w:rPr>
                <w:rFonts w:ascii="Times New Roman" w:hAnsi="Times New Roman" w:cs="Times New Roman"/>
              </w:rPr>
              <w:t>Esmased kalatöötlemise võimalused, kaalumine.</w:t>
            </w:r>
          </w:p>
        </w:tc>
      </w:tr>
      <w:tr w:rsidR="008312AA" w14:paraId="36D6436F" w14:textId="77777777">
        <w:tc>
          <w:tcPr>
            <w:tcW w:w="3402" w:type="dxa"/>
            <w:tcBorders>
              <w:top w:val="single" w:sz="8" w:space="0" w:color="FFFF00"/>
              <w:left w:val="single" w:sz="8" w:space="0" w:color="FFFF00"/>
              <w:bottom w:val="single" w:sz="8" w:space="0" w:color="FFFF00"/>
            </w:tcBorders>
            <w:shd w:val="clear" w:color="auto" w:fill="auto"/>
          </w:tcPr>
          <w:p w14:paraId="21F652F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Mittekalapüügiga seotud tegevused ja täiendava tulu teenimise võimalused.</w:t>
            </w:r>
          </w:p>
        </w:tc>
        <w:tc>
          <w:tcPr>
            <w:tcW w:w="6213" w:type="dxa"/>
            <w:tcBorders>
              <w:top w:val="single" w:sz="8" w:space="0" w:color="FFFF00"/>
              <w:bottom w:val="single" w:sz="8" w:space="0" w:color="FFFF00"/>
              <w:right w:val="single" w:sz="8" w:space="0" w:color="FFFF00"/>
            </w:tcBorders>
            <w:shd w:val="clear" w:color="auto" w:fill="auto"/>
          </w:tcPr>
          <w:p w14:paraId="01DA82BD" w14:textId="77777777" w:rsidR="008312AA" w:rsidRDefault="00000000">
            <w:pPr>
              <w:jc w:val="left"/>
              <w:rPr>
                <w:rFonts w:ascii="Times New Roman" w:hAnsi="Times New Roman" w:cs="Times New Roman"/>
              </w:rPr>
            </w:pPr>
            <w:r>
              <w:rPr>
                <w:rFonts w:ascii="Times New Roman" w:hAnsi="Times New Roman" w:cs="Times New Roman"/>
              </w:rPr>
              <w:t>Tasulisi teenuseid veel ei pakuta.</w:t>
            </w:r>
          </w:p>
        </w:tc>
      </w:tr>
      <w:tr w:rsidR="008312AA" w14:paraId="5FE11580"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54E5CAB3"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Tehniline olukord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E9E098D" w14:textId="77777777" w:rsidR="008312AA" w:rsidRDefault="00000000">
            <w:pPr>
              <w:jc w:val="left"/>
              <w:rPr>
                <w:rFonts w:ascii="Times New Roman" w:hAnsi="Times New Roman" w:cs="Times New Roman"/>
              </w:rPr>
            </w:pPr>
            <w:r>
              <w:rPr>
                <w:rFonts w:ascii="Times New Roman" w:hAnsi="Times New Roman" w:cs="Times New Roman"/>
              </w:rPr>
              <w:t>Rahuldav</w:t>
            </w:r>
          </w:p>
        </w:tc>
      </w:tr>
      <w:tr w:rsidR="008312AA" w14:paraId="5D22322B" w14:textId="77777777">
        <w:tc>
          <w:tcPr>
            <w:tcW w:w="3402" w:type="dxa"/>
            <w:tcBorders>
              <w:top w:val="single" w:sz="8" w:space="0" w:color="FFFF00"/>
              <w:left w:val="single" w:sz="8" w:space="0" w:color="FFFF00"/>
              <w:bottom w:val="single" w:sz="8" w:space="0" w:color="FFFF00"/>
            </w:tcBorders>
            <w:shd w:val="clear" w:color="auto" w:fill="auto"/>
          </w:tcPr>
          <w:p w14:paraId="5902C0F1" w14:textId="77777777" w:rsidR="008312AA" w:rsidRDefault="00000000">
            <w:pPr>
              <w:jc w:val="left"/>
              <w:rPr>
                <w:rFonts w:ascii="Times New Roman" w:hAnsi="Times New Roman" w:cs="Times New Roman"/>
              </w:rPr>
            </w:pPr>
            <w:r>
              <w:rPr>
                <w:rFonts w:ascii="Times New Roman" w:eastAsia="Times New Roman" w:hAnsi="Times New Roman" w:cs="Times New Roman"/>
                <w:b/>
                <w:bCs/>
              </w:rPr>
              <w:lastRenderedPageBreak/>
              <w:t>Tehtud investeeringud</w:t>
            </w:r>
          </w:p>
        </w:tc>
        <w:tc>
          <w:tcPr>
            <w:tcW w:w="6213" w:type="dxa"/>
            <w:tcBorders>
              <w:top w:val="single" w:sz="8" w:space="0" w:color="FFFF00"/>
              <w:bottom w:val="single" w:sz="8" w:space="0" w:color="FFFF00"/>
              <w:right w:val="single" w:sz="8" w:space="0" w:color="FFFF00"/>
            </w:tcBorders>
            <w:shd w:val="clear" w:color="auto" w:fill="auto"/>
          </w:tcPr>
          <w:p w14:paraId="59B0B78A" w14:textId="77777777" w:rsidR="008312AA" w:rsidRDefault="00000000">
            <w:pPr>
              <w:jc w:val="left"/>
              <w:rPr>
                <w:rFonts w:ascii="Times New Roman" w:eastAsia="Times New Roman" w:hAnsi="Times New Roman" w:cs="Times New Roman"/>
              </w:rPr>
            </w:pPr>
            <w:r>
              <w:rPr>
                <w:rFonts w:ascii="Times New Roman" w:eastAsia="Times New Roman" w:hAnsi="Times New Roman" w:cs="Times New Roman"/>
              </w:rPr>
              <w:t>Taristu ja sadama hoone rekonstrueerimine. Välja surnud sadamast on saanud igapäevaste külastajatega kaunis paigake.</w:t>
            </w:r>
          </w:p>
          <w:p w14:paraId="6B7E08BD" w14:textId="77777777" w:rsidR="008312AA" w:rsidRDefault="008312AA">
            <w:pPr>
              <w:jc w:val="left"/>
              <w:rPr>
                <w:rFonts w:ascii="Times New Roman" w:hAnsi="Times New Roman" w:cs="Times New Roman"/>
              </w:rPr>
            </w:pPr>
          </w:p>
        </w:tc>
      </w:tr>
      <w:tr w:rsidR="008312AA" w14:paraId="10CA25B3"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3EB910A"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Investeeringu plaanid ja vajadused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7F27D1F2" w14:textId="77777777" w:rsidR="008312AA" w:rsidRDefault="00000000">
            <w:pPr>
              <w:jc w:val="left"/>
              <w:rPr>
                <w:rFonts w:ascii="Times New Roman" w:hAnsi="Times New Roman" w:cs="Times New Roman"/>
              </w:rPr>
            </w:pPr>
            <w:r>
              <w:rPr>
                <w:rFonts w:ascii="Times New Roman" w:hAnsi="Times New Roman" w:cs="Times New Roman"/>
              </w:rPr>
              <w:t>Olemasoleva paadi-, mõrrakuuri rekonstrueerimine aastaringseks kasutamiseks. Keskkonnasäästlike (taastuvenergia) lahenduste kasutuselevõtmine. Päikesepaneelide paigaldus olemasolevate hoonete katustele.</w:t>
            </w:r>
          </w:p>
          <w:p w14:paraId="35AE1C4A" w14:textId="77777777" w:rsidR="008312AA" w:rsidRDefault="008312AA">
            <w:pPr>
              <w:jc w:val="left"/>
              <w:rPr>
                <w:rFonts w:ascii="Times New Roman" w:hAnsi="Times New Roman" w:cs="Times New Roman"/>
              </w:rPr>
            </w:pPr>
          </w:p>
          <w:p w14:paraId="73800198" w14:textId="77777777" w:rsidR="008312AA" w:rsidRDefault="008312AA">
            <w:pPr>
              <w:jc w:val="left"/>
              <w:rPr>
                <w:rFonts w:ascii="Times New Roman" w:hAnsi="Times New Roman" w:cs="Times New Roman"/>
              </w:rPr>
            </w:pPr>
          </w:p>
        </w:tc>
      </w:tr>
      <w:tr w:rsidR="008312AA" w14:paraId="63A9A528" w14:textId="77777777">
        <w:tc>
          <w:tcPr>
            <w:tcW w:w="3402" w:type="dxa"/>
            <w:tcBorders>
              <w:top w:val="single" w:sz="8" w:space="0" w:color="FFFF00"/>
              <w:left w:val="single" w:sz="8" w:space="0" w:color="FFFF00"/>
              <w:bottom w:val="single" w:sz="8" w:space="0" w:color="FFFF00"/>
            </w:tcBorders>
            <w:shd w:val="clear" w:color="auto" w:fill="auto"/>
          </w:tcPr>
          <w:p w14:paraId="3614F2B5"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Prognoositav investeeringute maksumus</w:t>
            </w:r>
          </w:p>
        </w:tc>
        <w:tc>
          <w:tcPr>
            <w:tcW w:w="6213" w:type="dxa"/>
            <w:tcBorders>
              <w:top w:val="single" w:sz="8" w:space="0" w:color="FFFF00"/>
              <w:bottom w:val="single" w:sz="8" w:space="0" w:color="FFFF00"/>
              <w:right w:val="single" w:sz="8" w:space="0" w:color="FFFF00"/>
            </w:tcBorders>
            <w:shd w:val="clear" w:color="auto" w:fill="auto"/>
          </w:tcPr>
          <w:p w14:paraId="5CAFE9D0" w14:textId="77777777" w:rsidR="008312AA" w:rsidRDefault="00000000">
            <w:pPr>
              <w:snapToGrid w:val="0"/>
              <w:jc w:val="left"/>
              <w:rPr>
                <w:rFonts w:ascii="Times New Roman" w:hAnsi="Times New Roman" w:cs="Times New Roman"/>
                <w:color w:val="000000"/>
              </w:rPr>
            </w:pPr>
            <w:r>
              <w:rPr>
                <w:rFonts w:ascii="Times New Roman" w:hAnsi="Times New Roman" w:cs="Times New Roman"/>
                <w:color w:val="000000"/>
              </w:rPr>
              <w:t>335 000 €</w:t>
            </w:r>
          </w:p>
        </w:tc>
      </w:tr>
      <w:tr w:rsidR="008312AA" w14:paraId="35A5197E" w14:textId="77777777">
        <w:tc>
          <w:tcPr>
            <w:tcW w:w="3402" w:type="dxa"/>
            <w:tcBorders>
              <w:left w:val="single" w:sz="8" w:space="0" w:color="FFFF00"/>
              <w:bottom w:val="single" w:sz="8" w:space="0" w:color="FFFF00"/>
            </w:tcBorders>
            <w:shd w:val="clear" w:color="auto" w:fill="D9E2F3" w:themeFill="accent1" w:themeFillTint="33"/>
          </w:tcPr>
          <w:p w14:paraId="7E31CC24"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Valiku põhjendus</w:t>
            </w:r>
          </w:p>
        </w:tc>
        <w:tc>
          <w:tcPr>
            <w:tcW w:w="6213" w:type="dxa"/>
            <w:tcBorders>
              <w:bottom w:val="single" w:sz="8" w:space="0" w:color="FFFF00"/>
              <w:right w:val="single" w:sz="8" w:space="0" w:color="FFFF00"/>
            </w:tcBorders>
            <w:shd w:val="clear" w:color="auto" w:fill="D9E2F3" w:themeFill="accent1" w:themeFillTint="33"/>
          </w:tcPr>
          <w:p w14:paraId="57716E66" w14:textId="77777777" w:rsidR="008312AA" w:rsidRDefault="00000000">
            <w:pPr>
              <w:snapToGrid w:val="0"/>
              <w:jc w:val="left"/>
              <w:rPr>
                <w:rFonts w:ascii="Times New Roman" w:eastAsia="Times New Roman" w:hAnsi="Times New Roman" w:cs="Times New Roman"/>
                <w:iCs/>
              </w:rPr>
            </w:pPr>
            <w:r>
              <w:rPr>
                <w:rFonts w:ascii="Times New Roman" w:eastAsia="Times New Roman" w:hAnsi="Times New Roman" w:cs="Times New Roman"/>
                <w:iCs/>
              </w:rPr>
              <w:t>Sadam on lisatud arengustrateegia sadamate nimistusse kuna vastab kalasadamale 18.10.2023 nr 69 määrusega „Perioodi 2021–2027 kogukonna juhitud kohaliku arengu toetus“ esitatud nõuetele</w:t>
            </w:r>
          </w:p>
        </w:tc>
      </w:tr>
    </w:tbl>
    <w:p w14:paraId="19CFD9D5" w14:textId="77777777" w:rsidR="008312AA" w:rsidRDefault="008312AA">
      <w:pPr>
        <w:spacing w:line="276" w:lineRule="auto"/>
        <w:jc w:val="left"/>
        <w:rPr>
          <w:rFonts w:ascii="Times New Roman" w:hAnsi="Times New Roman" w:cs="Times New Roman"/>
        </w:rPr>
      </w:pPr>
    </w:p>
    <w:tbl>
      <w:tblPr>
        <w:tblW w:w="9616" w:type="dxa"/>
        <w:tblInd w:w="-11" w:type="dxa"/>
        <w:tblLayout w:type="fixed"/>
        <w:tblLook w:val="0000" w:firstRow="0" w:lastRow="0" w:firstColumn="0" w:lastColumn="0" w:noHBand="0" w:noVBand="0"/>
      </w:tblPr>
      <w:tblGrid>
        <w:gridCol w:w="3402"/>
        <w:gridCol w:w="6214"/>
      </w:tblGrid>
      <w:tr w:rsidR="008312AA" w14:paraId="15487F9C"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55E478CD" w14:textId="77777777" w:rsidR="008312AA" w:rsidRDefault="00000000">
            <w:pPr>
              <w:jc w:val="left"/>
              <w:rPr>
                <w:rFonts w:ascii="Times New Roman" w:eastAsia="Times New Roman" w:hAnsi="Times New Roman" w:cs="Times New Roman"/>
                <w:b/>
                <w:bCs/>
                <w:shd w:val="clear" w:color="auto" w:fill="FFFF00"/>
              </w:rPr>
            </w:pPr>
            <w:r>
              <w:rPr>
                <w:rFonts w:ascii="Times New Roman" w:eastAsia="Times New Roman" w:hAnsi="Times New Roman" w:cs="Times New Roman"/>
                <w:b/>
                <w:bCs/>
                <w:highlight w:val="cyan"/>
                <w:shd w:val="clear" w:color="auto" w:fill="FFFF00"/>
              </w:rPr>
              <w:t>Sadam</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8FB21B2" w14:textId="77777777" w:rsidR="008312AA" w:rsidRDefault="00000000">
            <w:pPr>
              <w:jc w:val="left"/>
              <w:rPr>
                <w:rFonts w:ascii="Times New Roman" w:hAnsi="Times New Roman" w:cs="Times New Roman"/>
              </w:rPr>
            </w:pPr>
            <w:r>
              <w:rPr>
                <w:rFonts w:ascii="Times New Roman" w:eastAsia="Times New Roman" w:hAnsi="Times New Roman" w:cs="Times New Roman"/>
                <w:b/>
                <w:bCs/>
                <w:highlight w:val="cyan"/>
                <w:shd w:val="clear" w:color="auto" w:fill="FFFF00"/>
              </w:rPr>
              <w:t>Uisusadam</w:t>
            </w:r>
          </w:p>
        </w:tc>
      </w:tr>
      <w:tr w:rsidR="008312AA" w14:paraId="2B274A94" w14:textId="77777777">
        <w:tc>
          <w:tcPr>
            <w:tcW w:w="3402" w:type="dxa"/>
            <w:tcBorders>
              <w:top w:val="single" w:sz="8" w:space="0" w:color="FFFF00"/>
              <w:left w:val="single" w:sz="8" w:space="0" w:color="FFFF00"/>
              <w:bottom w:val="single" w:sz="8" w:space="0" w:color="FFFF00"/>
            </w:tcBorders>
            <w:shd w:val="clear" w:color="auto" w:fill="auto"/>
          </w:tcPr>
          <w:p w14:paraId="19544443"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Asukoht</w:t>
            </w:r>
          </w:p>
        </w:tc>
        <w:tc>
          <w:tcPr>
            <w:tcW w:w="6213" w:type="dxa"/>
            <w:tcBorders>
              <w:top w:val="single" w:sz="8" w:space="0" w:color="FFFF00"/>
              <w:bottom w:val="single" w:sz="8" w:space="0" w:color="FFFF00"/>
              <w:right w:val="single" w:sz="8" w:space="0" w:color="FFFF00"/>
            </w:tcBorders>
            <w:shd w:val="clear" w:color="auto" w:fill="auto"/>
          </w:tcPr>
          <w:p w14:paraId="50CB87D8" w14:textId="77777777" w:rsidR="008312AA" w:rsidRDefault="00000000">
            <w:pPr>
              <w:jc w:val="left"/>
              <w:rPr>
                <w:rFonts w:ascii="Times New Roman" w:hAnsi="Times New Roman" w:cs="Times New Roman"/>
              </w:rPr>
            </w:pPr>
            <w:r>
              <w:rPr>
                <w:rFonts w:ascii="Times New Roman" w:hAnsi="Times New Roman" w:cs="Times New Roman"/>
                <w:color w:val="212529"/>
                <w:shd w:val="clear" w:color="auto" w:fill="FFFFFF"/>
              </w:rPr>
              <w:t xml:space="preserve">Saare maakond, Saaremaa vald, Orissaare alevik, Ranna pst 17, 94601, katastriüksuse tunnus: 55001:001:0672 Sadamaregistri link: </w:t>
            </w:r>
            <w:hyperlink r:id="rId117">
              <w:r>
                <w:rPr>
                  <w:rStyle w:val="Hperlink"/>
                  <w:rFonts w:ascii="Times New Roman" w:hAnsi="Times New Roman" w:cs="Times New Roman"/>
                  <w:shd w:val="clear" w:color="auto" w:fill="FFFFFF"/>
                </w:rPr>
                <w:t>https://www.sadamaregister.ee/sadam/3921</w:t>
              </w:r>
            </w:hyperlink>
            <w:r>
              <w:rPr>
                <w:rFonts w:ascii="Times New Roman" w:hAnsi="Times New Roman" w:cs="Times New Roman"/>
                <w:color w:val="212529"/>
                <w:shd w:val="clear" w:color="auto" w:fill="FFFFFF"/>
              </w:rPr>
              <w:t xml:space="preserve"> </w:t>
            </w:r>
          </w:p>
        </w:tc>
      </w:tr>
      <w:tr w:rsidR="008312AA" w14:paraId="488EA7D0"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D64D2D4"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Kaide äärne sügavus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FF8D84C" w14:textId="77777777" w:rsidR="008312AA" w:rsidRDefault="00000000">
            <w:pPr>
              <w:jc w:val="left"/>
              <w:rPr>
                <w:rFonts w:ascii="Times New Roman" w:hAnsi="Times New Roman" w:cs="Times New Roman"/>
                <w:color w:val="FF0000"/>
              </w:rPr>
            </w:pPr>
            <w:r>
              <w:rPr>
                <w:rFonts w:ascii="Times New Roman" w:hAnsi="Times New Roman" w:cs="Times New Roman"/>
              </w:rPr>
              <w:t>1,0 – 1,2 m</w:t>
            </w:r>
          </w:p>
        </w:tc>
      </w:tr>
      <w:tr w:rsidR="008312AA" w14:paraId="584099F1" w14:textId="77777777">
        <w:tc>
          <w:tcPr>
            <w:tcW w:w="3402" w:type="dxa"/>
            <w:tcBorders>
              <w:top w:val="single" w:sz="8" w:space="0" w:color="FFFF00"/>
              <w:left w:val="single" w:sz="8" w:space="0" w:color="FFFF00"/>
              <w:bottom w:val="single" w:sz="8" w:space="0" w:color="FFFF00"/>
            </w:tcBorders>
            <w:shd w:val="clear" w:color="auto" w:fill="auto"/>
          </w:tcPr>
          <w:p w14:paraId="23C8A5F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Akvatooriumi suurus</w:t>
            </w:r>
          </w:p>
        </w:tc>
        <w:tc>
          <w:tcPr>
            <w:tcW w:w="6213" w:type="dxa"/>
            <w:tcBorders>
              <w:top w:val="single" w:sz="8" w:space="0" w:color="FFFF00"/>
              <w:bottom w:val="single" w:sz="8" w:space="0" w:color="FFFF00"/>
              <w:right w:val="single" w:sz="8" w:space="0" w:color="FFFF00"/>
            </w:tcBorders>
            <w:shd w:val="clear" w:color="auto" w:fill="auto"/>
          </w:tcPr>
          <w:p w14:paraId="6394A310" w14:textId="77777777" w:rsidR="008312AA" w:rsidRDefault="00000000">
            <w:pPr>
              <w:jc w:val="left"/>
              <w:rPr>
                <w:rFonts w:ascii="Times New Roman" w:hAnsi="Times New Roman" w:cs="Times New Roman"/>
              </w:rPr>
            </w:pPr>
            <w:r>
              <w:rPr>
                <w:rFonts w:ascii="Times New Roman" w:hAnsi="Times New Roman" w:cs="Times New Roman"/>
              </w:rPr>
              <w:t>Pole määratud, umbes 6900 m</w:t>
            </w:r>
            <w:r>
              <w:rPr>
                <w:rFonts w:ascii="Times New Roman" w:hAnsi="Times New Roman" w:cs="Times New Roman"/>
                <w:vertAlign w:val="superscript"/>
              </w:rPr>
              <w:t xml:space="preserve">2 </w:t>
            </w:r>
          </w:p>
        </w:tc>
      </w:tr>
      <w:tr w:rsidR="008312AA" w14:paraId="1EFE9CD6"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15E996D"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 territooriumi suurus</w:t>
            </w:r>
          </w:p>
          <w:p w14:paraId="6530D37F"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(pindala)</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D2E945E" w14:textId="77777777" w:rsidR="008312AA" w:rsidRDefault="00000000">
            <w:pPr>
              <w:jc w:val="left"/>
              <w:rPr>
                <w:rFonts w:ascii="Times New Roman" w:hAnsi="Times New Roman" w:cs="Times New Roman"/>
                <w:color w:val="FF0000"/>
              </w:rPr>
            </w:pPr>
            <w:r>
              <w:rPr>
                <w:rFonts w:ascii="Times New Roman" w:hAnsi="Times New Roman" w:cs="Times New Roman"/>
              </w:rPr>
              <w:t>3338,3 m</w:t>
            </w:r>
            <w:r>
              <w:rPr>
                <w:rFonts w:ascii="Times New Roman" w:hAnsi="Times New Roman" w:cs="Times New Roman"/>
                <w:vertAlign w:val="superscript"/>
              </w:rPr>
              <w:t>2</w:t>
            </w:r>
          </w:p>
        </w:tc>
      </w:tr>
      <w:tr w:rsidR="008312AA" w14:paraId="282E98E3" w14:textId="77777777">
        <w:tc>
          <w:tcPr>
            <w:tcW w:w="3402" w:type="dxa"/>
            <w:tcBorders>
              <w:top w:val="single" w:sz="8" w:space="0" w:color="FFFF00"/>
              <w:left w:val="single" w:sz="8" w:space="0" w:color="FFFF00"/>
              <w:bottom w:val="single" w:sz="8" w:space="0" w:color="FFFF00"/>
            </w:tcBorders>
            <w:shd w:val="clear" w:color="auto" w:fill="auto"/>
          </w:tcPr>
          <w:p w14:paraId="28D38A8C"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Sadamat kasutava laevastiku kirjeldus (segmendid)</w:t>
            </w:r>
          </w:p>
        </w:tc>
        <w:tc>
          <w:tcPr>
            <w:tcW w:w="6213" w:type="dxa"/>
            <w:tcBorders>
              <w:top w:val="single" w:sz="8" w:space="0" w:color="FFFF00"/>
              <w:bottom w:val="single" w:sz="8" w:space="0" w:color="FFFF00"/>
              <w:right w:val="single" w:sz="8" w:space="0" w:color="FFFF00"/>
            </w:tcBorders>
            <w:shd w:val="clear" w:color="auto" w:fill="auto"/>
          </w:tcPr>
          <w:p w14:paraId="5676D74D" w14:textId="77777777" w:rsidR="008312AA" w:rsidRDefault="00000000">
            <w:pPr>
              <w:jc w:val="left"/>
              <w:rPr>
                <w:rFonts w:ascii="Times New Roman" w:hAnsi="Times New Roman" w:cs="Times New Roman"/>
              </w:rPr>
            </w:pPr>
            <w:r>
              <w:rPr>
                <w:rFonts w:ascii="Times New Roman" w:hAnsi="Times New Roman" w:cs="Times New Roman"/>
              </w:rPr>
              <w:t>Väikelaevad suurusega kuni 12m</w:t>
            </w:r>
          </w:p>
        </w:tc>
      </w:tr>
      <w:tr w:rsidR="008312AA" w14:paraId="33553C3A"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EAC163B" w14:textId="77777777" w:rsidR="008312AA" w:rsidRDefault="00000000">
            <w:pPr>
              <w:jc w:val="left"/>
              <w:rPr>
                <w:rFonts w:ascii="Times New Roman" w:eastAsia="Times New Roman" w:hAnsi="Times New Roman" w:cs="Times New Roman"/>
                <w:iCs/>
              </w:rPr>
            </w:pPr>
            <w:r>
              <w:rPr>
                <w:rFonts w:ascii="Times New Roman" w:eastAsia="Times New Roman" w:hAnsi="Times New Roman" w:cs="Times New Roman"/>
                <w:b/>
                <w:bCs/>
              </w:rPr>
              <w:t>Sadamapidaja kontaktid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ADDA023" w14:textId="77777777" w:rsidR="008312AA" w:rsidRDefault="00000000">
            <w:pPr>
              <w:jc w:val="left"/>
              <w:rPr>
                <w:rFonts w:ascii="Times New Roman" w:hAnsi="Times New Roman" w:cs="Times New Roman"/>
              </w:rPr>
            </w:pPr>
            <w:r>
              <w:rPr>
                <w:rFonts w:ascii="Times New Roman" w:hAnsi="Times New Roman" w:cs="Times New Roman"/>
              </w:rPr>
              <w:t xml:space="preserve">MTÜ Orissaare Kalasadam (80424688), Kristjan Kana, +372 525 3544, </w:t>
            </w:r>
            <w:hyperlink r:id="rId118">
              <w:r>
                <w:rPr>
                  <w:rStyle w:val="Hperlink"/>
                  <w:rFonts w:ascii="Times New Roman" w:hAnsi="Times New Roman" w:cs="Times New Roman"/>
                  <w:color w:val="227ACB"/>
                </w:rPr>
                <w:t>jlem@online.ee</w:t>
              </w:r>
            </w:hyperlink>
          </w:p>
        </w:tc>
      </w:tr>
      <w:tr w:rsidR="008312AA" w14:paraId="51ABA04F" w14:textId="77777777">
        <w:tc>
          <w:tcPr>
            <w:tcW w:w="3402" w:type="dxa"/>
            <w:tcBorders>
              <w:top w:val="single" w:sz="8" w:space="0" w:color="FFFF00"/>
              <w:left w:val="single" w:sz="8" w:space="0" w:color="FFFF00"/>
              <w:bottom w:val="single" w:sz="8" w:space="0" w:color="FFFF00"/>
            </w:tcBorders>
            <w:shd w:val="clear" w:color="auto" w:fill="auto"/>
          </w:tcPr>
          <w:p w14:paraId="67F44AEB"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Milline on sadama kasutusaktiivsus sh püügivõimalused</w:t>
            </w:r>
          </w:p>
        </w:tc>
        <w:tc>
          <w:tcPr>
            <w:tcW w:w="6213" w:type="dxa"/>
            <w:tcBorders>
              <w:top w:val="single" w:sz="8" w:space="0" w:color="FFFF00"/>
              <w:bottom w:val="single" w:sz="8" w:space="0" w:color="FFFF00"/>
              <w:right w:val="single" w:sz="8" w:space="0" w:color="FFFF00"/>
            </w:tcBorders>
            <w:shd w:val="clear" w:color="auto" w:fill="auto"/>
          </w:tcPr>
          <w:p w14:paraId="21EB0F03" w14:textId="77777777" w:rsidR="008312AA" w:rsidRDefault="00000000">
            <w:pPr>
              <w:jc w:val="left"/>
              <w:rPr>
                <w:rFonts w:ascii="Times New Roman" w:hAnsi="Times New Roman" w:cs="Times New Roman"/>
              </w:rPr>
            </w:pPr>
            <w:r>
              <w:rPr>
                <w:rFonts w:ascii="Times New Roman" w:hAnsi="Times New Roman" w:cs="Times New Roman"/>
              </w:rPr>
              <w:t>Kõik kaikohad, 24 tk., on MTÜ liikmete ja toetajaliikmete poolt hõivatud.</w:t>
            </w:r>
          </w:p>
        </w:tc>
      </w:tr>
      <w:tr w:rsidR="008312AA" w14:paraId="05D7B5A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031D5B5"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Püügiperioodi pikkus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52E066E1" w14:textId="77777777" w:rsidR="008312AA" w:rsidRDefault="00000000">
            <w:pPr>
              <w:jc w:val="left"/>
              <w:rPr>
                <w:rFonts w:ascii="Times New Roman" w:hAnsi="Times New Roman" w:cs="Times New Roman"/>
              </w:rPr>
            </w:pPr>
            <w:r>
              <w:rPr>
                <w:rFonts w:ascii="Times New Roman" w:hAnsi="Times New Roman" w:cs="Times New Roman"/>
              </w:rPr>
              <w:t>8 kuud, 01.04 – 30.11</w:t>
            </w:r>
          </w:p>
        </w:tc>
      </w:tr>
      <w:tr w:rsidR="008312AA" w14:paraId="2BFB654F" w14:textId="77777777">
        <w:tc>
          <w:tcPr>
            <w:tcW w:w="3402" w:type="dxa"/>
            <w:tcBorders>
              <w:top w:val="single" w:sz="8" w:space="0" w:color="FFFF00"/>
              <w:left w:val="single" w:sz="8" w:space="0" w:color="FFFF00"/>
              <w:bottom w:val="single" w:sz="8" w:space="0" w:color="FFFF00"/>
            </w:tcBorders>
            <w:shd w:val="clear" w:color="auto" w:fill="auto"/>
          </w:tcPr>
          <w:p w14:paraId="3F61BC49" w14:textId="77777777" w:rsidR="008312AA" w:rsidRDefault="00000000">
            <w:pPr>
              <w:jc w:val="left"/>
              <w:rPr>
                <w:rFonts w:ascii="Times New Roman" w:hAnsi="Times New Roman" w:cs="Times New Roman"/>
              </w:rPr>
            </w:pPr>
            <w:r>
              <w:rPr>
                <w:rFonts w:ascii="Times New Roman" w:eastAsia="Times New Roman" w:hAnsi="Times New Roman" w:cs="Times New Roman"/>
                <w:b/>
                <w:bCs/>
              </w:rPr>
              <w:t>Omanikud</w:t>
            </w:r>
          </w:p>
        </w:tc>
        <w:tc>
          <w:tcPr>
            <w:tcW w:w="6213" w:type="dxa"/>
            <w:tcBorders>
              <w:top w:val="single" w:sz="8" w:space="0" w:color="FFFF00"/>
              <w:bottom w:val="single" w:sz="8" w:space="0" w:color="FFFF00"/>
              <w:right w:val="single" w:sz="8" w:space="0" w:color="FFFF00"/>
            </w:tcBorders>
            <w:shd w:val="clear" w:color="auto" w:fill="auto"/>
          </w:tcPr>
          <w:p w14:paraId="238121D3" w14:textId="77777777" w:rsidR="008312AA" w:rsidRDefault="00000000">
            <w:pPr>
              <w:jc w:val="left"/>
              <w:rPr>
                <w:rFonts w:ascii="Times New Roman" w:hAnsi="Times New Roman" w:cs="Times New Roman"/>
              </w:rPr>
            </w:pPr>
            <w:r>
              <w:rPr>
                <w:rFonts w:ascii="Times New Roman" w:hAnsi="Times New Roman" w:cs="Times New Roman"/>
              </w:rPr>
              <w:t>Saaremaa vald, hoonestusõigus antud MTÜ Orissaare Kalasadam kuni 24.10. 2052</w:t>
            </w:r>
          </w:p>
        </w:tc>
      </w:tr>
      <w:tr w:rsidR="008312AA" w14:paraId="1C574B44"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666A5061"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kutseliste kalurite arv</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79A7A6C" w14:textId="77777777" w:rsidR="008312AA" w:rsidRDefault="00000000">
            <w:pPr>
              <w:jc w:val="left"/>
              <w:rPr>
                <w:rFonts w:ascii="Times New Roman" w:hAnsi="Times New Roman" w:cs="Times New Roman"/>
              </w:rPr>
            </w:pPr>
            <w:r>
              <w:rPr>
                <w:rFonts w:ascii="Times New Roman" w:hAnsi="Times New Roman" w:cs="Times New Roman"/>
              </w:rPr>
              <w:t>6</w:t>
            </w:r>
          </w:p>
        </w:tc>
      </w:tr>
      <w:tr w:rsidR="008312AA" w14:paraId="5FCBC030" w14:textId="77777777">
        <w:tc>
          <w:tcPr>
            <w:tcW w:w="3402" w:type="dxa"/>
            <w:tcBorders>
              <w:top w:val="single" w:sz="8" w:space="0" w:color="FFFF00"/>
              <w:left w:val="single" w:sz="8" w:space="0" w:color="FFFF00"/>
              <w:bottom w:val="single" w:sz="8" w:space="0" w:color="FFFF00"/>
            </w:tcBorders>
            <w:shd w:val="clear" w:color="auto" w:fill="auto"/>
          </w:tcPr>
          <w:p w14:paraId="5BEF34DC"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Sadamat kasutavate harrastuskalurite arv</w:t>
            </w:r>
          </w:p>
        </w:tc>
        <w:tc>
          <w:tcPr>
            <w:tcW w:w="6213" w:type="dxa"/>
            <w:tcBorders>
              <w:top w:val="single" w:sz="8" w:space="0" w:color="FFFF00"/>
              <w:bottom w:val="single" w:sz="8" w:space="0" w:color="FFFF00"/>
              <w:right w:val="single" w:sz="8" w:space="0" w:color="FFFF00"/>
            </w:tcBorders>
            <w:shd w:val="clear" w:color="auto" w:fill="auto"/>
          </w:tcPr>
          <w:p w14:paraId="02CBCEDE" w14:textId="77777777" w:rsidR="008312AA" w:rsidRDefault="00000000">
            <w:pPr>
              <w:jc w:val="left"/>
              <w:rPr>
                <w:rFonts w:ascii="Times New Roman" w:hAnsi="Times New Roman" w:cs="Times New Roman"/>
              </w:rPr>
            </w:pPr>
            <w:r>
              <w:rPr>
                <w:rFonts w:ascii="Times New Roman" w:hAnsi="Times New Roman" w:cs="Times New Roman"/>
              </w:rPr>
              <w:t>14</w:t>
            </w:r>
          </w:p>
        </w:tc>
      </w:tr>
      <w:tr w:rsidR="008312AA" w14:paraId="709174CE"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2698CB5B" w14:textId="77777777" w:rsidR="008312AA" w:rsidRDefault="00000000">
            <w:pPr>
              <w:jc w:val="left"/>
              <w:rPr>
                <w:rFonts w:ascii="Times New Roman" w:eastAsia="Times New Roman" w:hAnsi="Times New Roman" w:cs="Times New Roman"/>
                <w:b/>
                <w:bCs/>
              </w:rPr>
            </w:pPr>
            <w:r>
              <w:rPr>
                <w:rFonts w:ascii="Times New Roman" w:hAnsi="Times New Roman" w:cs="Times New Roman"/>
                <w:b/>
                <w:bCs/>
              </w:rPr>
              <w:lastRenderedPageBreak/>
              <w:t>Sadamat kasutavate muude isikute arv ja mis eesmärgil sadamat kasutatakse (muud teenused sadamas)</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EBE2B57" w14:textId="77777777" w:rsidR="008312AA" w:rsidRDefault="00000000">
            <w:pPr>
              <w:jc w:val="left"/>
              <w:rPr>
                <w:rFonts w:ascii="Times New Roman" w:hAnsi="Times New Roman" w:cs="Times New Roman"/>
              </w:rPr>
            </w:pPr>
            <w:r>
              <w:rPr>
                <w:rFonts w:ascii="Times New Roman" w:hAnsi="Times New Roman" w:cs="Times New Roman"/>
              </w:rPr>
              <w:t>Kõinastu saare elanikud sildumiseks ja Saaremaaga ühenduse pidamiseks</w:t>
            </w:r>
          </w:p>
        </w:tc>
      </w:tr>
      <w:tr w:rsidR="008312AA" w14:paraId="3AA2D2ED" w14:textId="77777777">
        <w:tc>
          <w:tcPr>
            <w:tcW w:w="3402" w:type="dxa"/>
            <w:tcBorders>
              <w:top w:val="single" w:sz="8" w:space="0" w:color="FFFF00"/>
              <w:left w:val="single" w:sz="8" w:space="0" w:color="FFFF00"/>
              <w:bottom w:val="single" w:sz="8" w:space="0" w:color="FFFF00"/>
            </w:tcBorders>
            <w:shd w:val="clear" w:color="auto" w:fill="auto"/>
          </w:tcPr>
          <w:p w14:paraId="173AF8A0"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kasutavad kalapaadid</w:t>
            </w:r>
          </w:p>
        </w:tc>
        <w:tc>
          <w:tcPr>
            <w:tcW w:w="6213" w:type="dxa"/>
            <w:tcBorders>
              <w:top w:val="single" w:sz="8" w:space="0" w:color="FFFF00"/>
              <w:bottom w:val="single" w:sz="8" w:space="0" w:color="FFFF00"/>
              <w:right w:val="single" w:sz="8" w:space="0" w:color="FFFF00"/>
            </w:tcBorders>
            <w:shd w:val="clear" w:color="auto" w:fill="auto"/>
          </w:tcPr>
          <w:p w14:paraId="4C60DA48" w14:textId="77777777" w:rsidR="008312AA" w:rsidRDefault="00000000">
            <w:pPr>
              <w:jc w:val="left"/>
              <w:rPr>
                <w:rFonts w:ascii="Times New Roman" w:hAnsi="Times New Roman" w:cs="Times New Roman"/>
              </w:rPr>
            </w:pPr>
            <w:r>
              <w:rPr>
                <w:rFonts w:ascii="Times New Roman" w:hAnsi="Times New Roman" w:cs="Times New Roman"/>
              </w:rPr>
              <w:t>9</w:t>
            </w:r>
          </w:p>
        </w:tc>
      </w:tr>
      <w:tr w:rsidR="008312AA" w14:paraId="007EC945"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13828E9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Sadamat kasutavate harrastajate paadid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2A5DF93" w14:textId="77777777" w:rsidR="008312AA" w:rsidRDefault="00000000">
            <w:pPr>
              <w:jc w:val="left"/>
              <w:rPr>
                <w:rFonts w:ascii="Times New Roman" w:hAnsi="Times New Roman" w:cs="Times New Roman"/>
              </w:rPr>
            </w:pPr>
            <w:r>
              <w:rPr>
                <w:rFonts w:ascii="Times New Roman" w:hAnsi="Times New Roman" w:cs="Times New Roman"/>
              </w:rPr>
              <w:t>15</w:t>
            </w:r>
          </w:p>
        </w:tc>
      </w:tr>
      <w:tr w:rsidR="008312AA" w14:paraId="3BD05CE0" w14:textId="77777777">
        <w:tc>
          <w:tcPr>
            <w:tcW w:w="3402" w:type="dxa"/>
            <w:tcBorders>
              <w:top w:val="single" w:sz="8" w:space="0" w:color="FFFF00"/>
              <w:left w:val="single" w:sz="8" w:space="0" w:color="FFFF00"/>
              <w:bottom w:val="single" w:sz="8" w:space="0" w:color="FFFF00"/>
            </w:tcBorders>
            <w:shd w:val="clear" w:color="auto" w:fill="auto"/>
          </w:tcPr>
          <w:p w14:paraId="1AFC1EC1"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Kaluri kalapüügiloaga lossimised viimased neli aastat</w:t>
            </w:r>
          </w:p>
        </w:tc>
        <w:tc>
          <w:tcPr>
            <w:tcW w:w="6213" w:type="dxa"/>
            <w:tcBorders>
              <w:top w:val="single" w:sz="8" w:space="0" w:color="FFFF00"/>
              <w:bottom w:val="single" w:sz="8" w:space="0" w:color="FFFF00"/>
              <w:right w:val="single" w:sz="8" w:space="0" w:color="FFFF00"/>
            </w:tcBorders>
            <w:shd w:val="clear" w:color="auto" w:fill="auto"/>
          </w:tcPr>
          <w:p w14:paraId="55349EEA" w14:textId="77777777" w:rsidR="008312AA" w:rsidRDefault="00000000">
            <w:pPr>
              <w:jc w:val="left"/>
              <w:rPr>
                <w:rFonts w:ascii="Times New Roman" w:hAnsi="Times New Roman" w:cs="Times New Roman"/>
              </w:rPr>
            </w:pPr>
            <w:r>
              <w:rPr>
                <w:rFonts w:ascii="Times New Roman" w:hAnsi="Times New Roman" w:cs="Times New Roman"/>
              </w:rPr>
              <w:t>2022 – 20,576 t</w:t>
            </w:r>
          </w:p>
          <w:p w14:paraId="5EC16351" w14:textId="77777777" w:rsidR="008312AA" w:rsidRDefault="00000000">
            <w:pPr>
              <w:jc w:val="left"/>
              <w:rPr>
                <w:rFonts w:ascii="Times New Roman" w:hAnsi="Times New Roman" w:cs="Times New Roman"/>
              </w:rPr>
            </w:pPr>
            <w:r>
              <w:rPr>
                <w:rFonts w:ascii="Times New Roman" w:hAnsi="Times New Roman" w:cs="Times New Roman"/>
              </w:rPr>
              <w:t>2021 – 23,789 t</w:t>
            </w:r>
          </w:p>
          <w:p w14:paraId="3C0BF697" w14:textId="77777777" w:rsidR="008312AA" w:rsidRDefault="00000000">
            <w:pPr>
              <w:jc w:val="left"/>
              <w:rPr>
                <w:rFonts w:ascii="Times New Roman" w:hAnsi="Times New Roman" w:cs="Times New Roman"/>
              </w:rPr>
            </w:pPr>
            <w:r>
              <w:rPr>
                <w:rFonts w:ascii="Times New Roman" w:hAnsi="Times New Roman" w:cs="Times New Roman"/>
              </w:rPr>
              <w:t>2020 – 25,093 t</w:t>
            </w:r>
          </w:p>
          <w:p w14:paraId="31FFC25E" w14:textId="77777777" w:rsidR="008312AA" w:rsidRDefault="00000000">
            <w:pPr>
              <w:jc w:val="left"/>
              <w:rPr>
                <w:rFonts w:ascii="Times New Roman" w:hAnsi="Times New Roman" w:cs="Times New Roman"/>
              </w:rPr>
            </w:pPr>
            <w:r>
              <w:rPr>
                <w:rFonts w:ascii="Times New Roman" w:hAnsi="Times New Roman" w:cs="Times New Roman"/>
              </w:rPr>
              <w:t>2019 -</w:t>
            </w:r>
          </w:p>
        </w:tc>
      </w:tr>
      <w:tr w:rsidR="008312AA" w14:paraId="4A69220F"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387D737" w14:textId="77777777" w:rsidR="008312AA" w:rsidRDefault="00000000">
            <w:pPr>
              <w:jc w:val="left"/>
              <w:rPr>
                <w:rFonts w:ascii="Times New Roman" w:hAnsi="Times New Roman" w:cs="Times New Roman"/>
              </w:rPr>
            </w:pPr>
            <w:r>
              <w:rPr>
                <w:rFonts w:ascii="Times New Roman" w:eastAsia="Times New Roman" w:hAnsi="Times New Roman" w:cs="Times New Roman"/>
                <w:b/>
                <w:bCs/>
              </w:rPr>
              <w:t>Looduslikud tingimused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4D582AA7" w14:textId="77777777" w:rsidR="008312AA" w:rsidRDefault="00000000">
            <w:pPr>
              <w:jc w:val="left"/>
              <w:rPr>
                <w:rFonts w:ascii="Times New Roman" w:hAnsi="Times New Roman" w:cs="Times New Roman"/>
              </w:rPr>
            </w:pPr>
            <w:r>
              <w:rPr>
                <w:rFonts w:ascii="Times New Roman" w:hAnsi="Times New Roman" w:cs="Times New Roman"/>
              </w:rPr>
              <w:t>Prevaleerivate tuulte ja lainetuse eest kaitstud</w:t>
            </w:r>
          </w:p>
        </w:tc>
      </w:tr>
      <w:tr w:rsidR="008312AA" w14:paraId="628C96EC" w14:textId="77777777">
        <w:tc>
          <w:tcPr>
            <w:tcW w:w="3402" w:type="dxa"/>
            <w:tcBorders>
              <w:top w:val="single" w:sz="8" w:space="0" w:color="FFFF00"/>
              <w:left w:val="single" w:sz="8" w:space="0" w:color="FFFF00"/>
              <w:bottom w:val="single" w:sz="8" w:space="0" w:color="FFFF00"/>
            </w:tcBorders>
            <w:shd w:val="clear" w:color="auto" w:fill="auto"/>
          </w:tcPr>
          <w:p w14:paraId="3E4C67AD" w14:textId="77777777" w:rsidR="008312AA" w:rsidRDefault="00000000">
            <w:pPr>
              <w:jc w:val="left"/>
              <w:rPr>
                <w:rFonts w:ascii="Times New Roman" w:hAnsi="Times New Roman" w:cs="Times New Roman"/>
              </w:rPr>
            </w:pPr>
            <w:r>
              <w:rPr>
                <w:rFonts w:ascii="Times New Roman" w:eastAsia="Times New Roman" w:hAnsi="Times New Roman" w:cs="Times New Roman"/>
                <w:b/>
                <w:bCs/>
              </w:rPr>
              <w:t>Juurdepääsutee</w:t>
            </w:r>
          </w:p>
        </w:tc>
        <w:tc>
          <w:tcPr>
            <w:tcW w:w="6213" w:type="dxa"/>
            <w:tcBorders>
              <w:top w:val="single" w:sz="8" w:space="0" w:color="FFFF00"/>
              <w:bottom w:val="single" w:sz="8" w:space="0" w:color="FFFF00"/>
              <w:right w:val="single" w:sz="8" w:space="0" w:color="FFFF00"/>
            </w:tcBorders>
            <w:shd w:val="clear" w:color="auto" w:fill="auto"/>
          </w:tcPr>
          <w:p w14:paraId="1432239A" w14:textId="77777777" w:rsidR="008312AA" w:rsidRDefault="00000000">
            <w:pPr>
              <w:jc w:val="left"/>
              <w:rPr>
                <w:rFonts w:ascii="Times New Roman" w:hAnsi="Times New Roman" w:cs="Times New Roman"/>
              </w:rPr>
            </w:pPr>
            <w:r>
              <w:rPr>
                <w:rFonts w:ascii="Times New Roman" w:hAnsi="Times New Roman" w:cs="Times New Roman"/>
              </w:rPr>
              <w:t>Üldkasutatavalt avalikult Ranna pst.-</w:t>
            </w:r>
            <w:proofErr w:type="spellStart"/>
            <w:r>
              <w:rPr>
                <w:rFonts w:ascii="Times New Roman" w:hAnsi="Times New Roman" w:cs="Times New Roman"/>
              </w:rPr>
              <w:t>lt</w:t>
            </w:r>
            <w:proofErr w:type="spellEnd"/>
          </w:p>
        </w:tc>
      </w:tr>
      <w:tr w:rsidR="008312AA" w14:paraId="7F2E8603"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4686BC9E" w14:textId="77777777" w:rsidR="008312AA" w:rsidRDefault="00000000">
            <w:pPr>
              <w:jc w:val="left"/>
              <w:rPr>
                <w:rFonts w:ascii="Times New Roman" w:hAnsi="Times New Roman" w:cs="Times New Roman"/>
              </w:rPr>
            </w:pPr>
            <w:r>
              <w:rPr>
                <w:rFonts w:ascii="Times New Roman" w:eastAsia="Times New Roman" w:hAnsi="Times New Roman" w:cs="Times New Roman"/>
                <w:b/>
                <w:bCs/>
              </w:rPr>
              <w:t>Kas ja millised on sadamas kala hoiustamise- ja töötlemisvõimalused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39FECDEB" w14:textId="77777777" w:rsidR="008312AA" w:rsidRDefault="00000000">
            <w:pPr>
              <w:jc w:val="left"/>
              <w:rPr>
                <w:rFonts w:ascii="Times New Roman" w:hAnsi="Times New Roman" w:cs="Times New Roman"/>
              </w:rPr>
            </w:pPr>
            <w:r>
              <w:rPr>
                <w:rFonts w:ascii="Times New Roman" w:hAnsi="Times New Roman" w:cs="Times New Roman"/>
              </w:rPr>
              <w:t>Puuduvad</w:t>
            </w:r>
          </w:p>
        </w:tc>
      </w:tr>
      <w:tr w:rsidR="008312AA" w14:paraId="67E6530A" w14:textId="77777777">
        <w:tc>
          <w:tcPr>
            <w:tcW w:w="3402" w:type="dxa"/>
            <w:tcBorders>
              <w:top w:val="single" w:sz="8" w:space="0" w:color="FFFF00"/>
              <w:left w:val="single" w:sz="8" w:space="0" w:color="FFFF00"/>
              <w:bottom w:val="single" w:sz="8" w:space="0" w:color="FFFF00"/>
            </w:tcBorders>
            <w:shd w:val="clear" w:color="auto" w:fill="auto"/>
          </w:tcPr>
          <w:p w14:paraId="36D81288" w14:textId="77777777" w:rsidR="008312AA" w:rsidRDefault="00000000">
            <w:pPr>
              <w:jc w:val="left"/>
              <w:rPr>
                <w:rFonts w:ascii="Times New Roman" w:hAnsi="Times New Roman" w:cs="Times New Roman"/>
              </w:rPr>
            </w:pPr>
            <w:r>
              <w:rPr>
                <w:rFonts w:ascii="Times New Roman" w:eastAsia="Times New Roman" w:hAnsi="Times New Roman" w:cs="Times New Roman"/>
                <w:b/>
                <w:bCs/>
              </w:rPr>
              <w:t>Mittekalapüügiga seotud tegevused ja täiendava tulu teenimise võimalused.</w:t>
            </w:r>
          </w:p>
        </w:tc>
        <w:tc>
          <w:tcPr>
            <w:tcW w:w="6213" w:type="dxa"/>
            <w:tcBorders>
              <w:top w:val="single" w:sz="8" w:space="0" w:color="FFFF00"/>
              <w:bottom w:val="single" w:sz="8" w:space="0" w:color="FFFF00"/>
              <w:right w:val="single" w:sz="8" w:space="0" w:color="FFFF00"/>
            </w:tcBorders>
            <w:shd w:val="clear" w:color="auto" w:fill="auto"/>
          </w:tcPr>
          <w:p w14:paraId="1A4BC58C" w14:textId="77777777" w:rsidR="008312AA" w:rsidRDefault="00000000">
            <w:pPr>
              <w:jc w:val="left"/>
              <w:rPr>
                <w:rFonts w:ascii="Times New Roman" w:hAnsi="Times New Roman" w:cs="Times New Roman"/>
              </w:rPr>
            </w:pPr>
            <w:r>
              <w:rPr>
                <w:rFonts w:ascii="Times New Roman" w:hAnsi="Times New Roman" w:cs="Times New Roman"/>
              </w:rPr>
              <w:t>Harrastusmeresõitjate teenindamine</w:t>
            </w:r>
          </w:p>
        </w:tc>
      </w:tr>
      <w:tr w:rsidR="008312AA" w14:paraId="5E700D9B"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0A0C95E8"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Tehniline olukord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1FDF8EA5" w14:textId="77777777" w:rsidR="008312AA" w:rsidRDefault="00000000">
            <w:pPr>
              <w:jc w:val="left"/>
              <w:rPr>
                <w:rFonts w:ascii="Times New Roman" w:hAnsi="Times New Roman" w:cs="Times New Roman"/>
              </w:rPr>
            </w:pPr>
            <w:r>
              <w:rPr>
                <w:rFonts w:ascii="Times New Roman" w:hAnsi="Times New Roman" w:cs="Times New Roman"/>
              </w:rPr>
              <w:t>Väga hea, soetatud TOP Marine ujuvkaid 2021.a.</w:t>
            </w:r>
          </w:p>
        </w:tc>
      </w:tr>
      <w:tr w:rsidR="008312AA" w14:paraId="46C48044" w14:textId="77777777">
        <w:tc>
          <w:tcPr>
            <w:tcW w:w="3402" w:type="dxa"/>
            <w:tcBorders>
              <w:top w:val="single" w:sz="8" w:space="0" w:color="FFFF00"/>
              <w:left w:val="single" w:sz="8" w:space="0" w:color="FFFF00"/>
              <w:bottom w:val="single" w:sz="8" w:space="0" w:color="FFFF00"/>
            </w:tcBorders>
            <w:shd w:val="clear" w:color="auto" w:fill="auto"/>
          </w:tcPr>
          <w:p w14:paraId="0BC6DFF5" w14:textId="77777777" w:rsidR="008312AA" w:rsidRDefault="00000000">
            <w:pPr>
              <w:jc w:val="left"/>
              <w:rPr>
                <w:rFonts w:ascii="Times New Roman" w:hAnsi="Times New Roman" w:cs="Times New Roman"/>
              </w:rPr>
            </w:pPr>
            <w:r>
              <w:rPr>
                <w:rFonts w:ascii="Times New Roman" w:eastAsia="Times New Roman" w:hAnsi="Times New Roman" w:cs="Times New Roman"/>
                <w:b/>
                <w:bCs/>
              </w:rPr>
              <w:t>Tehtud investeeringud</w:t>
            </w:r>
          </w:p>
        </w:tc>
        <w:tc>
          <w:tcPr>
            <w:tcW w:w="6213" w:type="dxa"/>
            <w:tcBorders>
              <w:top w:val="single" w:sz="8" w:space="0" w:color="FFFF00"/>
              <w:bottom w:val="single" w:sz="8" w:space="0" w:color="FFFF00"/>
              <w:right w:val="single" w:sz="8" w:space="0" w:color="FFFF00"/>
            </w:tcBorders>
            <w:shd w:val="clear" w:color="auto" w:fill="auto"/>
          </w:tcPr>
          <w:p w14:paraId="678A7C03" w14:textId="77777777" w:rsidR="008312AA" w:rsidRDefault="00000000">
            <w:pPr>
              <w:jc w:val="left"/>
              <w:rPr>
                <w:rFonts w:ascii="Times New Roman" w:hAnsi="Times New Roman" w:cs="Times New Roman"/>
              </w:rPr>
            </w:pPr>
            <w:r>
              <w:rPr>
                <w:rFonts w:ascii="Times New Roman" w:hAnsi="Times New Roman" w:cs="Times New Roman"/>
              </w:rPr>
              <w:t>93 000 eurot sadama rekonstrueerimiseks</w:t>
            </w:r>
          </w:p>
        </w:tc>
      </w:tr>
      <w:tr w:rsidR="008312AA" w14:paraId="552762DA" w14:textId="77777777">
        <w:tc>
          <w:tcPr>
            <w:tcW w:w="3402" w:type="dxa"/>
            <w:tcBorders>
              <w:top w:val="single" w:sz="8" w:space="0" w:color="FFFF00"/>
              <w:left w:val="single" w:sz="8" w:space="0" w:color="FFFF00"/>
              <w:bottom w:val="single" w:sz="8" w:space="0" w:color="FFFF00"/>
            </w:tcBorders>
            <w:shd w:val="clear" w:color="auto" w:fill="D9E2F3" w:themeFill="accent1" w:themeFillTint="33"/>
          </w:tcPr>
          <w:p w14:paraId="7B79903C"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Investeeringu plaanid ja vajadused</w:t>
            </w:r>
          </w:p>
        </w:tc>
        <w:tc>
          <w:tcPr>
            <w:tcW w:w="6213" w:type="dxa"/>
            <w:tcBorders>
              <w:top w:val="single" w:sz="8" w:space="0" w:color="FFFF00"/>
              <w:bottom w:val="single" w:sz="8" w:space="0" w:color="FFFF00"/>
              <w:right w:val="single" w:sz="8" w:space="0" w:color="FFFF00"/>
            </w:tcBorders>
            <w:shd w:val="clear" w:color="auto" w:fill="D9E2F3" w:themeFill="accent1" w:themeFillTint="33"/>
          </w:tcPr>
          <w:p w14:paraId="019F3E58" w14:textId="77777777" w:rsidR="008312AA" w:rsidRDefault="00000000">
            <w:pPr>
              <w:jc w:val="left"/>
              <w:rPr>
                <w:rFonts w:ascii="Times New Roman" w:hAnsi="Times New Roman" w:cs="Times New Roman"/>
              </w:rPr>
            </w:pPr>
            <w:r>
              <w:rPr>
                <w:rFonts w:ascii="Times New Roman" w:hAnsi="Times New Roman" w:cs="Times New Roman"/>
              </w:rPr>
              <w:t>täiendava kaimooduli soetamine ja amortiseerunud sadamahoone rekonstrueerimine</w:t>
            </w:r>
          </w:p>
        </w:tc>
      </w:tr>
      <w:tr w:rsidR="008312AA" w14:paraId="6AC59532" w14:textId="77777777">
        <w:tc>
          <w:tcPr>
            <w:tcW w:w="3402" w:type="dxa"/>
            <w:tcBorders>
              <w:top w:val="single" w:sz="8" w:space="0" w:color="FFFF00"/>
              <w:left w:val="single" w:sz="8" w:space="0" w:color="FFFF00"/>
              <w:bottom w:val="single" w:sz="8" w:space="0" w:color="FFFF00"/>
            </w:tcBorders>
            <w:shd w:val="clear" w:color="auto" w:fill="auto"/>
          </w:tcPr>
          <w:p w14:paraId="63081777" w14:textId="77777777" w:rsidR="008312AA" w:rsidRDefault="00000000">
            <w:pPr>
              <w:jc w:val="left"/>
              <w:rPr>
                <w:rFonts w:ascii="Times New Roman" w:eastAsia="Times New Roman" w:hAnsi="Times New Roman" w:cs="Times New Roman"/>
                <w:b/>
                <w:bCs/>
              </w:rPr>
            </w:pPr>
            <w:r>
              <w:rPr>
                <w:rFonts w:ascii="Times New Roman" w:eastAsia="Times New Roman" w:hAnsi="Times New Roman" w:cs="Times New Roman"/>
                <w:b/>
                <w:bCs/>
              </w:rPr>
              <w:t>Prognoositav investeeringute maksumus</w:t>
            </w:r>
          </w:p>
        </w:tc>
        <w:tc>
          <w:tcPr>
            <w:tcW w:w="6213" w:type="dxa"/>
            <w:tcBorders>
              <w:top w:val="single" w:sz="8" w:space="0" w:color="FFFF00"/>
              <w:bottom w:val="single" w:sz="8" w:space="0" w:color="FFFF00"/>
              <w:right w:val="single" w:sz="8" w:space="0" w:color="FFFF00"/>
            </w:tcBorders>
            <w:shd w:val="clear" w:color="auto" w:fill="auto"/>
          </w:tcPr>
          <w:p w14:paraId="48792678" w14:textId="77777777" w:rsidR="008312AA" w:rsidRDefault="00000000">
            <w:pPr>
              <w:snapToGrid w:val="0"/>
              <w:jc w:val="left"/>
              <w:rPr>
                <w:rFonts w:ascii="Times New Roman" w:hAnsi="Times New Roman" w:cs="Times New Roman"/>
                <w:color w:val="000000"/>
              </w:rPr>
            </w:pPr>
            <w:r>
              <w:rPr>
                <w:rFonts w:ascii="Times New Roman" w:hAnsi="Times New Roman" w:cs="Times New Roman"/>
                <w:color w:val="000000"/>
              </w:rPr>
              <w:t>250 000</w:t>
            </w:r>
          </w:p>
        </w:tc>
      </w:tr>
      <w:tr w:rsidR="008312AA" w14:paraId="49919E3E" w14:textId="77777777">
        <w:tc>
          <w:tcPr>
            <w:tcW w:w="3402" w:type="dxa"/>
            <w:tcBorders>
              <w:left w:val="single" w:sz="8" w:space="0" w:color="FFFF00"/>
              <w:bottom w:val="single" w:sz="8" w:space="0" w:color="FFFF00"/>
            </w:tcBorders>
            <w:shd w:val="clear" w:color="auto" w:fill="D9E2F3" w:themeFill="accent1" w:themeFillTint="33"/>
          </w:tcPr>
          <w:p w14:paraId="38F98392" w14:textId="77777777" w:rsidR="008312AA" w:rsidRDefault="00000000">
            <w:pPr>
              <w:jc w:val="left"/>
              <w:rPr>
                <w:rFonts w:ascii="Times New Roman" w:hAnsi="Times New Roman" w:cs="Times New Roman"/>
                <w:color w:val="000000"/>
              </w:rPr>
            </w:pPr>
            <w:r>
              <w:rPr>
                <w:rFonts w:ascii="Times New Roman" w:eastAsia="Times New Roman" w:hAnsi="Times New Roman" w:cs="Times New Roman"/>
                <w:b/>
                <w:bCs/>
              </w:rPr>
              <w:t>Valiku põhjendus</w:t>
            </w:r>
          </w:p>
        </w:tc>
        <w:tc>
          <w:tcPr>
            <w:tcW w:w="6213" w:type="dxa"/>
            <w:tcBorders>
              <w:bottom w:val="single" w:sz="8" w:space="0" w:color="FFFF00"/>
              <w:right w:val="single" w:sz="8" w:space="0" w:color="FFFF00"/>
            </w:tcBorders>
            <w:shd w:val="clear" w:color="auto" w:fill="D9E2F3" w:themeFill="accent1" w:themeFillTint="33"/>
          </w:tcPr>
          <w:p w14:paraId="57393ACD" w14:textId="77777777" w:rsidR="008312AA" w:rsidRDefault="00000000">
            <w:pPr>
              <w:snapToGrid w:val="0"/>
              <w:jc w:val="left"/>
              <w:rPr>
                <w:rFonts w:ascii="Times New Roman" w:eastAsia="Times New Roman" w:hAnsi="Times New Roman" w:cs="Times New Roman"/>
                <w:iCs/>
              </w:rPr>
            </w:pPr>
            <w:r>
              <w:rPr>
                <w:rFonts w:ascii="Times New Roman" w:eastAsia="Times New Roman" w:hAnsi="Times New Roman" w:cs="Times New Roman"/>
              </w:rPr>
              <w:t xml:space="preserve">Sadam on lisatud arengustrateegia sadamate nimistusse kuna vastab kalasadamale 18.10.2023 nr 69 määrusega „Perioodi 2021–2027 kogukonna juhitud kohaliku arengu toetus“ esitatud nõuetele ja  </w:t>
            </w:r>
            <w:r>
              <w:rPr>
                <w:rFonts w:ascii="Times New Roman" w:hAnsi="Times New Roman" w:cs="Times New Roman"/>
              </w:rPr>
              <w:t>Saaremaa kalanduspiirkonna üldistest kalasaakidest tulenevalt peab toetust saavate kalasadamate lossimiskogus aastas olema vähemalt 5 tonni.</w:t>
            </w:r>
          </w:p>
        </w:tc>
      </w:tr>
    </w:tbl>
    <w:p w14:paraId="72708D35" w14:textId="77777777" w:rsidR="008312AA" w:rsidRDefault="008312AA">
      <w:pPr>
        <w:jc w:val="left"/>
      </w:pPr>
    </w:p>
    <w:p w14:paraId="1C1509A3" w14:textId="77777777" w:rsidR="002D4864" w:rsidRDefault="002D4864">
      <w:pPr>
        <w:spacing w:line="276" w:lineRule="auto"/>
        <w:jc w:val="left"/>
        <w:rPr>
          <w:rFonts w:ascii="Times New Roman" w:hAnsi="Times New Roman" w:cs="Times New Roman"/>
        </w:rPr>
      </w:pPr>
    </w:p>
    <w:p w14:paraId="312E90BD" w14:textId="77777777" w:rsidR="008312AA" w:rsidRDefault="008312AA">
      <w:pPr>
        <w:spacing w:line="276" w:lineRule="auto"/>
        <w:jc w:val="left"/>
        <w:rPr>
          <w:rFonts w:ascii="Times New Roman" w:hAnsi="Times New Roman" w:cs="Times New Roman"/>
        </w:rPr>
      </w:pPr>
    </w:p>
    <w:p w14:paraId="62737F1F" w14:textId="77777777" w:rsidR="008312AA" w:rsidRDefault="008312AA">
      <w:pPr>
        <w:spacing w:line="276" w:lineRule="auto"/>
        <w:jc w:val="left"/>
        <w:rPr>
          <w:rFonts w:ascii="Times New Roman" w:hAnsi="Times New Roman" w:cs="Times New Roman"/>
        </w:rPr>
      </w:pPr>
    </w:p>
    <w:p w14:paraId="03E0A7A6" w14:textId="77777777" w:rsidR="008312AA" w:rsidRDefault="008312AA">
      <w:pPr>
        <w:spacing w:line="276" w:lineRule="auto"/>
        <w:jc w:val="left"/>
        <w:rPr>
          <w:rFonts w:ascii="Times New Roman" w:hAnsi="Times New Roman" w:cs="Times New Roman"/>
        </w:rPr>
      </w:pPr>
    </w:p>
    <w:p w14:paraId="5C8C478C" w14:textId="77777777" w:rsidR="008312AA" w:rsidRDefault="008312AA">
      <w:pPr>
        <w:spacing w:line="276" w:lineRule="auto"/>
        <w:jc w:val="left"/>
        <w:rPr>
          <w:rFonts w:ascii="Times New Roman" w:hAnsi="Times New Roman" w:cs="Times New Roman"/>
        </w:rPr>
      </w:pPr>
    </w:p>
    <w:p w14:paraId="464AC070" w14:textId="77777777" w:rsidR="002D4864" w:rsidRDefault="002D4864">
      <w:pPr>
        <w:spacing w:line="276" w:lineRule="auto"/>
        <w:jc w:val="left"/>
        <w:sectPr w:rsidR="002D4864" w:rsidSect="005C60BB">
          <w:headerReference w:type="default" r:id="rId119"/>
          <w:footerReference w:type="default" r:id="rId120"/>
          <w:headerReference w:type="first" r:id="rId121"/>
          <w:pgSz w:w="11906" w:h="16838"/>
          <w:pgMar w:top="1417" w:right="1417" w:bottom="1417" w:left="1417" w:header="708" w:footer="708" w:gutter="0"/>
          <w:cols w:space="708"/>
          <w:formProt w:val="0"/>
          <w:titlePg/>
          <w:docGrid w:linePitch="360"/>
        </w:sectPr>
      </w:pPr>
    </w:p>
    <w:p w14:paraId="2FB1E51D" w14:textId="4154A472" w:rsidR="008312AA" w:rsidRDefault="007C6F09" w:rsidP="007C6F09">
      <w:pPr>
        <w:pStyle w:val="Pealkiri1"/>
        <w:ind w:left="0" w:firstLine="0"/>
        <w:rPr>
          <w:rFonts w:ascii="Times New Roman" w:hAnsi="Times New Roman" w:cs="Times New Roman"/>
        </w:rPr>
      </w:pPr>
      <w:bookmarkStart w:id="119" w:name="_Toc157420990"/>
      <w:r>
        <w:rPr>
          <w:rFonts w:ascii="Times New Roman" w:hAnsi="Times New Roman" w:cs="Times New Roman"/>
        </w:rPr>
        <w:lastRenderedPageBreak/>
        <w:t>LISA</w:t>
      </w:r>
      <w:r w:rsidRPr="00B77987">
        <w:rPr>
          <w:rFonts w:ascii="Times New Roman" w:hAnsi="Times New Roman" w:cs="Times New Roman"/>
        </w:rPr>
        <w:t xml:space="preserve"> 5.  Saaremaa kalanduspiirkonna lossimiskogused </w:t>
      </w:r>
      <w:r w:rsidR="00620F58">
        <w:rPr>
          <w:rFonts w:ascii="Times New Roman" w:hAnsi="Times New Roman" w:cs="Times New Roman"/>
        </w:rPr>
        <w:t xml:space="preserve">(kg) </w:t>
      </w:r>
      <w:r w:rsidRPr="00B77987">
        <w:rPr>
          <w:rFonts w:ascii="Times New Roman" w:hAnsi="Times New Roman" w:cs="Times New Roman"/>
        </w:rPr>
        <w:t>lossimiskohtade lõikes 2016-2022</w:t>
      </w:r>
      <w:bookmarkEnd w:id="119"/>
    </w:p>
    <w:p w14:paraId="2B2A4DEC" w14:textId="77777777" w:rsidR="00B42464" w:rsidRPr="00B42464" w:rsidRDefault="00B42464" w:rsidP="00B42464"/>
    <w:tbl>
      <w:tblPr>
        <w:tblW w:w="12120" w:type="dxa"/>
        <w:tblCellMar>
          <w:left w:w="70" w:type="dxa"/>
          <w:right w:w="70" w:type="dxa"/>
        </w:tblCellMar>
        <w:tblLook w:val="04A0" w:firstRow="1" w:lastRow="0" w:firstColumn="1" w:lastColumn="0" w:noHBand="0" w:noVBand="1"/>
      </w:tblPr>
      <w:tblGrid>
        <w:gridCol w:w="560"/>
        <w:gridCol w:w="1845"/>
        <w:gridCol w:w="2410"/>
        <w:gridCol w:w="965"/>
        <w:gridCol w:w="1120"/>
        <w:gridCol w:w="1140"/>
        <w:gridCol w:w="1120"/>
        <w:gridCol w:w="1000"/>
        <w:gridCol w:w="1000"/>
        <w:gridCol w:w="1120"/>
      </w:tblGrid>
      <w:tr w:rsidR="002D4864" w:rsidRPr="00620F58" w14:paraId="05F8CAFA" w14:textId="77777777" w:rsidTr="00B42464">
        <w:trPr>
          <w:trHeight w:val="300"/>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8F4C91"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Jrk nr</w:t>
            </w:r>
          </w:p>
        </w:tc>
        <w:tc>
          <w:tcPr>
            <w:tcW w:w="1845" w:type="dxa"/>
            <w:tcBorders>
              <w:top w:val="single" w:sz="4" w:space="0" w:color="auto"/>
              <w:left w:val="nil"/>
              <w:bottom w:val="single" w:sz="4" w:space="0" w:color="auto"/>
              <w:right w:val="single" w:sz="4" w:space="0" w:color="auto"/>
            </w:tcBorders>
            <w:shd w:val="clear" w:color="000000" w:fill="FFFFFF"/>
            <w:noWrap/>
            <w:vAlign w:val="bottom"/>
            <w:hideMark/>
          </w:tcPr>
          <w:p w14:paraId="40790A4D"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Vald</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7E8D0B94"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Muhu vald</w:t>
            </w:r>
          </w:p>
        </w:tc>
        <w:tc>
          <w:tcPr>
            <w:tcW w:w="805" w:type="dxa"/>
            <w:tcBorders>
              <w:top w:val="single" w:sz="4" w:space="0" w:color="auto"/>
              <w:left w:val="nil"/>
              <w:bottom w:val="single" w:sz="4" w:space="0" w:color="auto"/>
              <w:right w:val="single" w:sz="4" w:space="0" w:color="auto"/>
            </w:tcBorders>
            <w:shd w:val="clear" w:color="000000" w:fill="FFFFFF"/>
            <w:noWrap/>
            <w:vAlign w:val="bottom"/>
            <w:hideMark/>
          </w:tcPr>
          <w:p w14:paraId="04022448"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2016</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613686D7"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2017</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03DFD826"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2018</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3D73EED0"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2019</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239D8691"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2020</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6D403CD1"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2021</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546A1D74"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2022</w:t>
            </w:r>
          </w:p>
        </w:tc>
      </w:tr>
      <w:tr w:rsidR="00B42464" w:rsidRPr="002D4864" w14:paraId="3F96662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48F988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w:t>
            </w:r>
          </w:p>
        </w:tc>
        <w:tc>
          <w:tcPr>
            <w:tcW w:w="1845" w:type="dxa"/>
            <w:tcBorders>
              <w:top w:val="nil"/>
              <w:left w:val="nil"/>
              <w:bottom w:val="single" w:sz="4" w:space="0" w:color="auto"/>
              <w:right w:val="single" w:sz="4" w:space="0" w:color="auto"/>
            </w:tcBorders>
            <w:shd w:val="clear" w:color="000000" w:fill="FFFFFF"/>
            <w:noWrap/>
            <w:vAlign w:val="bottom"/>
            <w:hideMark/>
          </w:tcPr>
          <w:p w14:paraId="03DA9C3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000000" w:fill="FFFFFF"/>
            <w:noWrap/>
            <w:vAlign w:val="bottom"/>
            <w:hideMark/>
          </w:tcPr>
          <w:p w14:paraId="74A73CB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Aljava</w:t>
            </w:r>
            <w:proofErr w:type="spellEnd"/>
          </w:p>
        </w:tc>
        <w:tc>
          <w:tcPr>
            <w:tcW w:w="805" w:type="dxa"/>
            <w:tcBorders>
              <w:top w:val="nil"/>
              <w:left w:val="nil"/>
              <w:bottom w:val="single" w:sz="4" w:space="0" w:color="auto"/>
              <w:right w:val="single" w:sz="4" w:space="0" w:color="auto"/>
            </w:tcBorders>
            <w:shd w:val="clear" w:color="000000" w:fill="FFFFFF"/>
            <w:noWrap/>
            <w:vAlign w:val="bottom"/>
            <w:hideMark/>
          </w:tcPr>
          <w:p w14:paraId="4ED16A2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3881,50</w:t>
            </w:r>
          </w:p>
        </w:tc>
        <w:tc>
          <w:tcPr>
            <w:tcW w:w="1120" w:type="dxa"/>
            <w:tcBorders>
              <w:top w:val="nil"/>
              <w:left w:val="nil"/>
              <w:bottom w:val="single" w:sz="4" w:space="0" w:color="auto"/>
              <w:right w:val="single" w:sz="4" w:space="0" w:color="auto"/>
            </w:tcBorders>
            <w:shd w:val="clear" w:color="000000" w:fill="FFFFFF"/>
            <w:noWrap/>
            <w:vAlign w:val="bottom"/>
            <w:hideMark/>
          </w:tcPr>
          <w:p w14:paraId="52E18DF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7045,85</w:t>
            </w:r>
          </w:p>
        </w:tc>
        <w:tc>
          <w:tcPr>
            <w:tcW w:w="1140" w:type="dxa"/>
            <w:tcBorders>
              <w:top w:val="nil"/>
              <w:left w:val="nil"/>
              <w:bottom w:val="single" w:sz="4" w:space="0" w:color="auto"/>
              <w:right w:val="single" w:sz="4" w:space="0" w:color="auto"/>
            </w:tcBorders>
            <w:shd w:val="clear" w:color="000000" w:fill="FFFFFF"/>
            <w:noWrap/>
            <w:vAlign w:val="bottom"/>
            <w:hideMark/>
          </w:tcPr>
          <w:p w14:paraId="321020F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5510,04</w:t>
            </w:r>
          </w:p>
        </w:tc>
        <w:tc>
          <w:tcPr>
            <w:tcW w:w="1120" w:type="dxa"/>
            <w:tcBorders>
              <w:top w:val="nil"/>
              <w:left w:val="nil"/>
              <w:bottom w:val="single" w:sz="4" w:space="0" w:color="auto"/>
              <w:right w:val="single" w:sz="4" w:space="0" w:color="auto"/>
            </w:tcBorders>
            <w:shd w:val="clear" w:color="000000" w:fill="FFFFFF"/>
            <w:noWrap/>
            <w:vAlign w:val="bottom"/>
            <w:hideMark/>
          </w:tcPr>
          <w:p w14:paraId="2FCE3EB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13381,82</w:t>
            </w:r>
          </w:p>
        </w:tc>
        <w:tc>
          <w:tcPr>
            <w:tcW w:w="1000" w:type="dxa"/>
            <w:tcBorders>
              <w:top w:val="nil"/>
              <w:left w:val="nil"/>
              <w:bottom w:val="single" w:sz="4" w:space="0" w:color="auto"/>
              <w:right w:val="single" w:sz="4" w:space="0" w:color="auto"/>
            </w:tcBorders>
            <w:shd w:val="clear" w:color="000000" w:fill="FFFFFF"/>
            <w:noWrap/>
            <w:vAlign w:val="bottom"/>
            <w:hideMark/>
          </w:tcPr>
          <w:p w14:paraId="16498E5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20459,00</w:t>
            </w:r>
          </w:p>
        </w:tc>
        <w:tc>
          <w:tcPr>
            <w:tcW w:w="1000" w:type="dxa"/>
            <w:tcBorders>
              <w:top w:val="nil"/>
              <w:left w:val="nil"/>
              <w:bottom w:val="single" w:sz="4" w:space="0" w:color="auto"/>
              <w:right w:val="single" w:sz="4" w:space="0" w:color="auto"/>
            </w:tcBorders>
            <w:shd w:val="clear" w:color="000000" w:fill="FFFFFF"/>
            <w:noWrap/>
            <w:vAlign w:val="bottom"/>
            <w:hideMark/>
          </w:tcPr>
          <w:p w14:paraId="1EE548A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18871,52</w:t>
            </w:r>
          </w:p>
        </w:tc>
        <w:tc>
          <w:tcPr>
            <w:tcW w:w="1120" w:type="dxa"/>
            <w:tcBorders>
              <w:top w:val="nil"/>
              <w:left w:val="nil"/>
              <w:bottom w:val="single" w:sz="4" w:space="0" w:color="auto"/>
              <w:right w:val="single" w:sz="4" w:space="0" w:color="auto"/>
            </w:tcBorders>
            <w:shd w:val="clear" w:color="000000" w:fill="FFFFFF"/>
            <w:noWrap/>
            <w:vAlign w:val="bottom"/>
            <w:hideMark/>
          </w:tcPr>
          <w:p w14:paraId="5D206A2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15484,30</w:t>
            </w:r>
          </w:p>
        </w:tc>
      </w:tr>
      <w:tr w:rsidR="00B42464" w:rsidRPr="002D4864" w14:paraId="0BC20DC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7DA31F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w:t>
            </w:r>
          </w:p>
        </w:tc>
        <w:tc>
          <w:tcPr>
            <w:tcW w:w="1845" w:type="dxa"/>
            <w:tcBorders>
              <w:top w:val="nil"/>
              <w:left w:val="nil"/>
              <w:bottom w:val="single" w:sz="4" w:space="0" w:color="auto"/>
              <w:right w:val="single" w:sz="4" w:space="0" w:color="auto"/>
            </w:tcBorders>
            <w:shd w:val="clear" w:color="000000" w:fill="FFFFFF"/>
            <w:noWrap/>
            <w:vAlign w:val="bottom"/>
            <w:hideMark/>
          </w:tcPr>
          <w:p w14:paraId="58BBF9B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000000" w:fill="FFFFFF"/>
            <w:noWrap/>
            <w:vAlign w:val="bottom"/>
            <w:hideMark/>
          </w:tcPr>
          <w:p w14:paraId="3E66EC2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Hanenina</w:t>
            </w:r>
          </w:p>
        </w:tc>
        <w:tc>
          <w:tcPr>
            <w:tcW w:w="805" w:type="dxa"/>
            <w:tcBorders>
              <w:top w:val="nil"/>
              <w:left w:val="nil"/>
              <w:bottom w:val="single" w:sz="4" w:space="0" w:color="auto"/>
              <w:right w:val="single" w:sz="4" w:space="0" w:color="auto"/>
            </w:tcBorders>
            <w:shd w:val="clear" w:color="000000" w:fill="FFFFFF"/>
            <w:noWrap/>
            <w:vAlign w:val="bottom"/>
            <w:hideMark/>
          </w:tcPr>
          <w:p w14:paraId="0D7E100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139,50</w:t>
            </w:r>
          </w:p>
        </w:tc>
        <w:tc>
          <w:tcPr>
            <w:tcW w:w="1120" w:type="dxa"/>
            <w:tcBorders>
              <w:top w:val="nil"/>
              <w:left w:val="nil"/>
              <w:bottom w:val="single" w:sz="4" w:space="0" w:color="auto"/>
              <w:right w:val="single" w:sz="4" w:space="0" w:color="auto"/>
            </w:tcBorders>
            <w:shd w:val="clear" w:color="000000" w:fill="FFFFFF"/>
            <w:noWrap/>
            <w:vAlign w:val="bottom"/>
            <w:hideMark/>
          </w:tcPr>
          <w:p w14:paraId="383A769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149,50</w:t>
            </w:r>
          </w:p>
        </w:tc>
        <w:tc>
          <w:tcPr>
            <w:tcW w:w="1140" w:type="dxa"/>
            <w:tcBorders>
              <w:top w:val="nil"/>
              <w:left w:val="nil"/>
              <w:bottom w:val="single" w:sz="4" w:space="0" w:color="auto"/>
              <w:right w:val="single" w:sz="4" w:space="0" w:color="auto"/>
            </w:tcBorders>
            <w:shd w:val="clear" w:color="000000" w:fill="FFFFFF"/>
            <w:noWrap/>
            <w:vAlign w:val="bottom"/>
            <w:hideMark/>
          </w:tcPr>
          <w:p w14:paraId="35E3B38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211,20</w:t>
            </w:r>
          </w:p>
        </w:tc>
        <w:tc>
          <w:tcPr>
            <w:tcW w:w="1120" w:type="dxa"/>
            <w:tcBorders>
              <w:top w:val="nil"/>
              <w:left w:val="nil"/>
              <w:bottom w:val="single" w:sz="4" w:space="0" w:color="auto"/>
              <w:right w:val="single" w:sz="4" w:space="0" w:color="auto"/>
            </w:tcBorders>
            <w:shd w:val="clear" w:color="000000" w:fill="FFFFFF"/>
            <w:noWrap/>
            <w:vAlign w:val="bottom"/>
            <w:hideMark/>
          </w:tcPr>
          <w:p w14:paraId="7B6C135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100,40</w:t>
            </w:r>
          </w:p>
        </w:tc>
        <w:tc>
          <w:tcPr>
            <w:tcW w:w="1000" w:type="dxa"/>
            <w:tcBorders>
              <w:top w:val="nil"/>
              <w:left w:val="nil"/>
              <w:bottom w:val="single" w:sz="4" w:space="0" w:color="auto"/>
              <w:right w:val="single" w:sz="4" w:space="0" w:color="auto"/>
            </w:tcBorders>
            <w:shd w:val="clear" w:color="000000" w:fill="FFFFFF"/>
            <w:noWrap/>
            <w:vAlign w:val="bottom"/>
            <w:hideMark/>
          </w:tcPr>
          <w:p w14:paraId="7C2FF39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121,00</w:t>
            </w:r>
          </w:p>
        </w:tc>
        <w:tc>
          <w:tcPr>
            <w:tcW w:w="1000" w:type="dxa"/>
            <w:tcBorders>
              <w:top w:val="nil"/>
              <w:left w:val="nil"/>
              <w:bottom w:val="single" w:sz="4" w:space="0" w:color="auto"/>
              <w:right w:val="single" w:sz="4" w:space="0" w:color="auto"/>
            </w:tcBorders>
            <w:shd w:val="clear" w:color="000000" w:fill="FFFFFF"/>
            <w:noWrap/>
            <w:vAlign w:val="bottom"/>
            <w:hideMark/>
          </w:tcPr>
          <w:p w14:paraId="56A1884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110,50</w:t>
            </w:r>
          </w:p>
        </w:tc>
        <w:tc>
          <w:tcPr>
            <w:tcW w:w="1120" w:type="dxa"/>
            <w:tcBorders>
              <w:top w:val="nil"/>
              <w:left w:val="nil"/>
              <w:bottom w:val="single" w:sz="4" w:space="0" w:color="auto"/>
              <w:right w:val="single" w:sz="4" w:space="0" w:color="auto"/>
            </w:tcBorders>
            <w:shd w:val="clear" w:color="000000" w:fill="FFFFFF"/>
            <w:noWrap/>
            <w:vAlign w:val="bottom"/>
            <w:hideMark/>
          </w:tcPr>
          <w:p w14:paraId="0DF504B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192,70</w:t>
            </w:r>
          </w:p>
        </w:tc>
      </w:tr>
      <w:tr w:rsidR="00B42464" w:rsidRPr="002D4864" w14:paraId="382727A1"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E96B74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w:t>
            </w:r>
          </w:p>
        </w:tc>
        <w:tc>
          <w:tcPr>
            <w:tcW w:w="1845" w:type="dxa"/>
            <w:tcBorders>
              <w:top w:val="nil"/>
              <w:left w:val="nil"/>
              <w:bottom w:val="single" w:sz="4" w:space="0" w:color="auto"/>
              <w:right w:val="single" w:sz="4" w:space="0" w:color="auto"/>
            </w:tcBorders>
            <w:shd w:val="clear" w:color="000000" w:fill="FFFFFF"/>
            <w:noWrap/>
            <w:vAlign w:val="bottom"/>
            <w:hideMark/>
          </w:tcPr>
          <w:p w14:paraId="6702C70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E2F0D9" w:fill="FFFFFF"/>
            <w:noWrap/>
            <w:vAlign w:val="bottom"/>
            <w:hideMark/>
          </w:tcPr>
          <w:p w14:paraId="709B6C3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Kallaste sadam</w:t>
            </w:r>
          </w:p>
        </w:tc>
        <w:tc>
          <w:tcPr>
            <w:tcW w:w="805" w:type="dxa"/>
            <w:tcBorders>
              <w:top w:val="nil"/>
              <w:left w:val="nil"/>
              <w:bottom w:val="single" w:sz="4" w:space="0" w:color="auto"/>
              <w:right w:val="single" w:sz="4" w:space="0" w:color="auto"/>
            </w:tcBorders>
            <w:shd w:val="clear" w:color="000000" w:fill="FFFFFF"/>
            <w:noWrap/>
            <w:vAlign w:val="bottom"/>
            <w:hideMark/>
          </w:tcPr>
          <w:p w14:paraId="1593EED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3441,00</w:t>
            </w:r>
          </w:p>
        </w:tc>
        <w:tc>
          <w:tcPr>
            <w:tcW w:w="1120" w:type="dxa"/>
            <w:tcBorders>
              <w:top w:val="nil"/>
              <w:left w:val="nil"/>
              <w:bottom w:val="single" w:sz="4" w:space="0" w:color="auto"/>
              <w:right w:val="single" w:sz="4" w:space="0" w:color="auto"/>
            </w:tcBorders>
            <w:shd w:val="clear" w:color="000000" w:fill="FFFFFF"/>
            <w:noWrap/>
            <w:vAlign w:val="bottom"/>
            <w:hideMark/>
          </w:tcPr>
          <w:p w14:paraId="673EC56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1650,00</w:t>
            </w:r>
          </w:p>
        </w:tc>
        <w:tc>
          <w:tcPr>
            <w:tcW w:w="1140" w:type="dxa"/>
            <w:tcBorders>
              <w:top w:val="nil"/>
              <w:left w:val="nil"/>
              <w:bottom w:val="single" w:sz="4" w:space="0" w:color="auto"/>
              <w:right w:val="single" w:sz="4" w:space="0" w:color="auto"/>
            </w:tcBorders>
            <w:shd w:val="clear" w:color="000000" w:fill="FFFFFF"/>
            <w:noWrap/>
            <w:vAlign w:val="bottom"/>
            <w:hideMark/>
          </w:tcPr>
          <w:p w14:paraId="6E27368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3145,00</w:t>
            </w:r>
          </w:p>
        </w:tc>
        <w:tc>
          <w:tcPr>
            <w:tcW w:w="1120" w:type="dxa"/>
            <w:tcBorders>
              <w:top w:val="nil"/>
              <w:left w:val="nil"/>
              <w:bottom w:val="single" w:sz="4" w:space="0" w:color="auto"/>
              <w:right w:val="single" w:sz="4" w:space="0" w:color="auto"/>
            </w:tcBorders>
            <w:shd w:val="clear" w:color="000000" w:fill="FFFFFF"/>
            <w:noWrap/>
            <w:vAlign w:val="bottom"/>
            <w:hideMark/>
          </w:tcPr>
          <w:p w14:paraId="7164223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1917,00</w:t>
            </w:r>
          </w:p>
        </w:tc>
        <w:tc>
          <w:tcPr>
            <w:tcW w:w="1000" w:type="dxa"/>
            <w:tcBorders>
              <w:top w:val="nil"/>
              <w:left w:val="nil"/>
              <w:bottom w:val="single" w:sz="4" w:space="0" w:color="auto"/>
              <w:right w:val="single" w:sz="4" w:space="0" w:color="auto"/>
            </w:tcBorders>
            <w:shd w:val="clear" w:color="000000" w:fill="FFFFFF"/>
            <w:noWrap/>
            <w:vAlign w:val="bottom"/>
            <w:hideMark/>
          </w:tcPr>
          <w:p w14:paraId="2981D9A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239,00</w:t>
            </w:r>
          </w:p>
        </w:tc>
        <w:tc>
          <w:tcPr>
            <w:tcW w:w="1000" w:type="dxa"/>
            <w:tcBorders>
              <w:top w:val="nil"/>
              <w:left w:val="nil"/>
              <w:bottom w:val="single" w:sz="4" w:space="0" w:color="auto"/>
              <w:right w:val="single" w:sz="4" w:space="0" w:color="auto"/>
            </w:tcBorders>
            <w:shd w:val="clear" w:color="000000" w:fill="FFFFFF"/>
            <w:noWrap/>
            <w:vAlign w:val="bottom"/>
            <w:hideMark/>
          </w:tcPr>
          <w:p w14:paraId="758863C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754,00</w:t>
            </w:r>
          </w:p>
        </w:tc>
        <w:tc>
          <w:tcPr>
            <w:tcW w:w="1120" w:type="dxa"/>
            <w:tcBorders>
              <w:top w:val="nil"/>
              <w:left w:val="nil"/>
              <w:bottom w:val="single" w:sz="4" w:space="0" w:color="auto"/>
              <w:right w:val="single" w:sz="4" w:space="0" w:color="auto"/>
            </w:tcBorders>
            <w:shd w:val="clear" w:color="000000" w:fill="FFFFFF"/>
            <w:noWrap/>
            <w:vAlign w:val="bottom"/>
            <w:hideMark/>
          </w:tcPr>
          <w:p w14:paraId="0C69211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987,50</w:t>
            </w:r>
          </w:p>
        </w:tc>
      </w:tr>
      <w:tr w:rsidR="00B42464" w:rsidRPr="002D4864" w14:paraId="66AA86CF"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1280EC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w:t>
            </w:r>
          </w:p>
        </w:tc>
        <w:tc>
          <w:tcPr>
            <w:tcW w:w="1845" w:type="dxa"/>
            <w:tcBorders>
              <w:top w:val="nil"/>
              <w:left w:val="nil"/>
              <w:bottom w:val="single" w:sz="4" w:space="0" w:color="auto"/>
              <w:right w:val="single" w:sz="4" w:space="0" w:color="auto"/>
            </w:tcBorders>
            <w:shd w:val="clear" w:color="000000" w:fill="FFFFFF"/>
            <w:noWrap/>
            <w:vAlign w:val="bottom"/>
            <w:hideMark/>
          </w:tcPr>
          <w:p w14:paraId="08CBA01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E2F0D9" w:fill="FFFFFF"/>
            <w:noWrap/>
            <w:vAlign w:val="bottom"/>
            <w:hideMark/>
          </w:tcPr>
          <w:p w14:paraId="06CA5EB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Koguva sadam</w:t>
            </w:r>
          </w:p>
        </w:tc>
        <w:tc>
          <w:tcPr>
            <w:tcW w:w="805" w:type="dxa"/>
            <w:tcBorders>
              <w:top w:val="nil"/>
              <w:left w:val="nil"/>
              <w:bottom w:val="single" w:sz="4" w:space="0" w:color="auto"/>
              <w:right w:val="single" w:sz="4" w:space="0" w:color="auto"/>
            </w:tcBorders>
            <w:shd w:val="clear" w:color="000000" w:fill="FFFFFF"/>
            <w:noWrap/>
            <w:vAlign w:val="bottom"/>
            <w:hideMark/>
          </w:tcPr>
          <w:p w14:paraId="1CA1493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5173,40</w:t>
            </w:r>
          </w:p>
        </w:tc>
        <w:tc>
          <w:tcPr>
            <w:tcW w:w="1120" w:type="dxa"/>
            <w:tcBorders>
              <w:top w:val="nil"/>
              <w:left w:val="nil"/>
              <w:bottom w:val="single" w:sz="4" w:space="0" w:color="auto"/>
              <w:right w:val="single" w:sz="4" w:space="0" w:color="auto"/>
            </w:tcBorders>
            <w:shd w:val="clear" w:color="000000" w:fill="FFFFFF"/>
            <w:noWrap/>
            <w:vAlign w:val="bottom"/>
            <w:hideMark/>
          </w:tcPr>
          <w:p w14:paraId="72825A3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4939,50</w:t>
            </w:r>
          </w:p>
        </w:tc>
        <w:tc>
          <w:tcPr>
            <w:tcW w:w="1140" w:type="dxa"/>
            <w:tcBorders>
              <w:top w:val="nil"/>
              <w:left w:val="nil"/>
              <w:bottom w:val="single" w:sz="4" w:space="0" w:color="auto"/>
              <w:right w:val="single" w:sz="4" w:space="0" w:color="auto"/>
            </w:tcBorders>
            <w:shd w:val="clear" w:color="000000" w:fill="FFFFFF"/>
            <w:noWrap/>
            <w:vAlign w:val="bottom"/>
            <w:hideMark/>
          </w:tcPr>
          <w:p w14:paraId="0DCB88E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5636,70</w:t>
            </w:r>
          </w:p>
        </w:tc>
        <w:tc>
          <w:tcPr>
            <w:tcW w:w="1120" w:type="dxa"/>
            <w:tcBorders>
              <w:top w:val="nil"/>
              <w:left w:val="nil"/>
              <w:bottom w:val="single" w:sz="4" w:space="0" w:color="auto"/>
              <w:right w:val="single" w:sz="4" w:space="0" w:color="auto"/>
            </w:tcBorders>
            <w:shd w:val="clear" w:color="000000" w:fill="FFFFFF"/>
            <w:noWrap/>
            <w:vAlign w:val="bottom"/>
            <w:hideMark/>
          </w:tcPr>
          <w:p w14:paraId="5450FF0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5641,00</w:t>
            </w:r>
          </w:p>
        </w:tc>
        <w:tc>
          <w:tcPr>
            <w:tcW w:w="1000" w:type="dxa"/>
            <w:tcBorders>
              <w:top w:val="nil"/>
              <w:left w:val="nil"/>
              <w:bottom w:val="single" w:sz="4" w:space="0" w:color="auto"/>
              <w:right w:val="single" w:sz="4" w:space="0" w:color="auto"/>
            </w:tcBorders>
            <w:shd w:val="clear" w:color="000000" w:fill="FFFFFF"/>
            <w:noWrap/>
            <w:vAlign w:val="bottom"/>
            <w:hideMark/>
          </w:tcPr>
          <w:p w14:paraId="4254B75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10829,00</w:t>
            </w:r>
          </w:p>
        </w:tc>
        <w:tc>
          <w:tcPr>
            <w:tcW w:w="1000" w:type="dxa"/>
            <w:tcBorders>
              <w:top w:val="nil"/>
              <w:left w:val="nil"/>
              <w:bottom w:val="single" w:sz="4" w:space="0" w:color="auto"/>
              <w:right w:val="single" w:sz="4" w:space="0" w:color="auto"/>
            </w:tcBorders>
            <w:shd w:val="clear" w:color="000000" w:fill="FFFFFF"/>
            <w:noWrap/>
            <w:vAlign w:val="bottom"/>
            <w:hideMark/>
          </w:tcPr>
          <w:p w14:paraId="470956F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4638,00</w:t>
            </w:r>
          </w:p>
        </w:tc>
        <w:tc>
          <w:tcPr>
            <w:tcW w:w="1120" w:type="dxa"/>
            <w:tcBorders>
              <w:top w:val="nil"/>
              <w:left w:val="nil"/>
              <w:bottom w:val="single" w:sz="4" w:space="0" w:color="auto"/>
              <w:right w:val="single" w:sz="4" w:space="0" w:color="auto"/>
            </w:tcBorders>
            <w:shd w:val="clear" w:color="000000" w:fill="FFFFFF"/>
            <w:noWrap/>
            <w:vAlign w:val="bottom"/>
            <w:hideMark/>
          </w:tcPr>
          <w:p w14:paraId="4C5B53C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5559,00</w:t>
            </w:r>
          </w:p>
        </w:tc>
      </w:tr>
      <w:tr w:rsidR="00B42464" w:rsidRPr="002D4864" w14:paraId="2A1CB41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7029AE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w:t>
            </w:r>
          </w:p>
        </w:tc>
        <w:tc>
          <w:tcPr>
            <w:tcW w:w="1845" w:type="dxa"/>
            <w:tcBorders>
              <w:top w:val="nil"/>
              <w:left w:val="nil"/>
              <w:bottom w:val="single" w:sz="4" w:space="0" w:color="auto"/>
              <w:right w:val="single" w:sz="4" w:space="0" w:color="auto"/>
            </w:tcBorders>
            <w:shd w:val="clear" w:color="000000" w:fill="FFFFFF"/>
            <w:noWrap/>
            <w:vAlign w:val="bottom"/>
            <w:hideMark/>
          </w:tcPr>
          <w:p w14:paraId="79FD526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E2F0D9" w:fill="FFFFFF"/>
            <w:noWrap/>
            <w:vAlign w:val="bottom"/>
            <w:hideMark/>
          </w:tcPr>
          <w:p w14:paraId="064E318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Kuivastu</w:t>
            </w:r>
            <w:proofErr w:type="spellEnd"/>
            <w:r w:rsidRPr="002D4864">
              <w:rPr>
                <w:rFonts w:ascii="Times New Roman" w:eastAsia="Times New Roman" w:hAnsi="Times New Roman" w:cs="Times New Roman"/>
                <w:color w:val="000000"/>
                <w:sz w:val="22"/>
                <w:szCs w:val="22"/>
              </w:rPr>
              <w:t xml:space="preserve"> sadam</w:t>
            </w:r>
          </w:p>
        </w:tc>
        <w:tc>
          <w:tcPr>
            <w:tcW w:w="805" w:type="dxa"/>
            <w:tcBorders>
              <w:top w:val="nil"/>
              <w:left w:val="nil"/>
              <w:bottom w:val="single" w:sz="4" w:space="0" w:color="auto"/>
              <w:right w:val="single" w:sz="4" w:space="0" w:color="auto"/>
            </w:tcBorders>
            <w:shd w:val="clear" w:color="000000" w:fill="FFFFFF"/>
            <w:noWrap/>
            <w:vAlign w:val="bottom"/>
            <w:hideMark/>
          </w:tcPr>
          <w:p w14:paraId="00CDC27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6050,70</w:t>
            </w:r>
          </w:p>
        </w:tc>
        <w:tc>
          <w:tcPr>
            <w:tcW w:w="1120" w:type="dxa"/>
            <w:tcBorders>
              <w:top w:val="nil"/>
              <w:left w:val="nil"/>
              <w:bottom w:val="single" w:sz="4" w:space="0" w:color="auto"/>
              <w:right w:val="single" w:sz="4" w:space="0" w:color="auto"/>
            </w:tcBorders>
            <w:shd w:val="clear" w:color="000000" w:fill="FFFFFF"/>
            <w:noWrap/>
            <w:vAlign w:val="bottom"/>
            <w:hideMark/>
          </w:tcPr>
          <w:p w14:paraId="70A9DCD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18133,50</w:t>
            </w:r>
          </w:p>
        </w:tc>
        <w:tc>
          <w:tcPr>
            <w:tcW w:w="1140" w:type="dxa"/>
            <w:tcBorders>
              <w:top w:val="nil"/>
              <w:left w:val="nil"/>
              <w:bottom w:val="single" w:sz="4" w:space="0" w:color="auto"/>
              <w:right w:val="single" w:sz="4" w:space="0" w:color="auto"/>
            </w:tcBorders>
            <w:shd w:val="clear" w:color="000000" w:fill="FFFFFF"/>
            <w:noWrap/>
            <w:vAlign w:val="bottom"/>
            <w:hideMark/>
          </w:tcPr>
          <w:p w14:paraId="3F8B0CB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7181,60</w:t>
            </w:r>
          </w:p>
        </w:tc>
        <w:tc>
          <w:tcPr>
            <w:tcW w:w="1120" w:type="dxa"/>
            <w:tcBorders>
              <w:top w:val="nil"/>
              <w:left w:val="nil"/>
              <w:bottom w:val="single" w:sz="4" w:space="0" w:color="auto"/>
              <w:right w:val="single" w:sz="4" w:space="0" w:color="auto"/>
            </w:tcBorders>
            <w:shd w:val="clear" w:color="000000" w:fill="FFFFFF"/>
            <w:noWrap/>
            <w:vAlign w:val="bottom"/>
            <w:hideMark/>
          </w:tcPr>
          <w:p w14:paraId="547476D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7221,50</w:t>
            </w:r>
          </w:p>
        </w:tc>
        <w:tc>
          <w:tcPr>
            <w:tcW w:w="1000" w:type="dxa"/>
            <w:tcBorders>
              <w:top w:val="nil"/>
              <w:left w:val="nil"/>
              <w:bottom w:val="single" w:sz="4" w:space="0" w:color="auto"/>
              <w:right w:val="single" w:sz="4" w:space="0" w:color="auto"/>
            </w:tcBorders>
            <w:shd w:val="clear" w:color="000000" w:fill="FFFFFF"/>
            <w:noWrap/>
            <w:vAlign w:val="bottom"/>
            <w:hideMark/>
          </w:tcPr>
          <w:p w14:paraId="12FF06B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5203,00</w:t>
            </w:r>
          </w:p>
        </w:tc>
        <w:tc>
          <w:tcPr>
            <w:tcW w:w="1000" w:type="dxa"/>
            <w:tcBorders>
              <w:top w:val="nil"/>
              <w:left w:val="nil"/>
              <w:bottom w:val="single" w:sz="4" w:space="0" w:color="auto"/>
              <w:right w:val="single" w:sz="4" w:space="0" w:color="auto"/>
            </w:tcBorders>
            <w:shd w:val="clear" w:color="000000" w:fill="FFFFFF"/>
            <w:noWrap/>
            <w:vAlign w:val="bottom"/>
            <w:hideMark/>
          </w:tcPr>
          <w:p w14:paraId="5CB09B2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4988,50</w:t>
            </w:r>
          </w:p>
        </w:tc>
        <w:tc>
          <w:tcPr>
            <w:tcW w:w="1120" w:type="dxa"/>
            <w:tcBorders>
              <w:top w:val="nil"/>
              <w:left w:val="nil"/>
              <w:bottom w:val="single" w:sz="4" w:space="0" w:color="auto"/>
              <w:right w:val="single" w:sz="4" w:space="0" w:color="auto"/>
            </w:tcBorders>
            <w:shd w:val="clear" w:color="000000" w:fill="FFFFFF"/>
            <w:noWrap/>
            <w:vAlign w:val="bottom"/>
            <w:hideMark/>
          </w:tcPr>
          <w:p w14:paraId="7E3DF63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4112,00</w:t>
            </w:r>
          </w:p>
        </w:tc>
      </w:tr>
      <w:tr w:rsidR="00B42464" w:rsidRPr="002D4864" w14:paraId="23AF057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A36A5A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w:t>
            </w:r>
          </w:p>
        </w:tc>
        <w:tc>
          <w:tcPr>
            <w:tcW w:w="1845" w:type="dxa"/>
            <w:tcBorders>
              <w:top w:val="nil"/>
              <w:left w:val="nil"/>
              <w:bottom w:val="single" w:sz="4" w:space="0" w:color="auto"/>
              <w:right w:val="single" w:sz="4" w:space="0" w:color="auto"/>
            </w:tcBorders>
            <w:shd w:val="clear" w:color="000000" w:fill="FFFFFF"/>
            <w:noWrap/>
            <w:vAlign w:val="bottom"/>
            <w:hideMark/>
          </w:tcPr>
          <w:p w14:paraId="0D7E182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000000" w:fill="FFFFFF"/>
            <w:noWrap/>
            <w:vAlign w:val="bottom"/>
            <w:hideMark/>
          </w:tcPr>
          <w:p w14:paraId="3971DFF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Lalli</w:t>
            </w:r>
            <w:proofErr w:type="spellEnd"/>
            <w:r w:rsidRPr="002D4864">
              <w:rPr>
                <w:rFonts w:ascii="Times New Roman" w:eastAsia="Times New Roman" w:hAnsi="Times New Roman" w:cs="Times New Roman"/>
                <w:color w:val="000000"/>
                <w:sz w:val="22"/>
                <w:szCs w:val="22"/>
              </w:rPr>
              <w:t xml:space="preserve"> sadam</w:t>
            </w:r>
          </w:p>
        </w:tc>
        <w:tc>
          <w:tcPr>
            <w:tcW w:w="805" w:type="dxa"/>
            <w:tcBorders>
              <w:top w:val="nil"/>
              <w:left w:val="nil"/>
              <w:bottom w:val="single" w:sz="4" w:space="0" w:color="auto"/>
              <w:right w:val="single" w:sz="4" w:space="0" w:color="auto"/>
            </w:tcBorders>
            <w:shd w:val="clear" w:color="000000" w:fill="FFFFFF"/>
            <w:noWrap/>
            <w:vAlign w:val="bottom"/>
            <w:hideMark/>
          </w:tcPr>
          <w:p w14:paraId="60A914D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4515,90</w:t>
            </w:r>
          </w:p>
        </w:tc>
        <w:tc>
          <w:tcPr>
            <w:tcW w:w="1120" w:type="dxa"/>
            <w:tcBorders>
              <w:top w:val="nil"/>
              <w:left w:val="nil"/>
              <w:bottom w:val="single" w:sz="4" w:space="0" w:color="auto"/>
              <w:right w:val="single" w:sz="4" w:space="0" w:color="auto"/>
            </w:tcBorders>
            <w:shd w:val="clear" w:color="000000" w:fill="FFFFFF"/>
            <w:noWrap/>
            <w:vAlign w:val="bottom"/>
            <w:hideMark/>
          </w:tcPr>
          <w:p w14:paraId="5191525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7902,00</w:t>
            </w:r>
          </w:p>
        </w:tc>
        <w:tc>
          <w:tcPr>
            <w:tcW w:w="1140" w:type="dxa"/>
            <w:tcBorders>
              <w:top w:val="nil"/>
              <w:left w:val="nil"/>
              <w:bottom w:val="single" w:sz="4" w:space="0" w:color="auto"/>
              <w:right w:val="single" w:sz="4" w:space="0" w:color="auto"/>
            </w:tcBorders>
            <w:shd w:val="clear" w:color="000000" w:fill="FFFFFF"/>
            <w:noWrap/>
            <w:vAlign w:val="bottom"/>
            <w:hideMark/>
          </w:tcPr>
          <w:p w14:paraId="4F10FCC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7109,50</w:t>
            </w:r>
          </w:p>
        </w:tc>
        <w:tc>
          <w:tcPr>
            <w:tcW w:w="1120" w:type="dxa"/>
            <w:tcBorders>
              <w:top w:val="nil"/>
              <w:left w:val="nil"/>
              <w:bottom w:val="single" w:sz="4" w:space="0" w:color="auto"/>
              <w:right w:val="single" w:sz="4" w:space="0" w:color="auto"/>
            </w:tcBorders>
            <w:shd w:val="clear" w:color="000000" w:fill="FFFFFF"/>
            <w:noWrap/>
            <w:vAlign w:val="bottom"/>
            <w:hideMark/>
          </w:tcPr>
          <w:p w14:paraId="59BED72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6582,00</w:t>
            </w:r>
          </w:p>
        </w:tc>
        <w:tc>
          <w:tcPr>
            <w:tcW w:w="1000" w:type="dxa"/>
            <w:tcBorders>
              <w:top w:val="nil"/>
              <w:left w:val="nil"/>
              <w:bottom w:val="single" w:sz="4" w:space="0" w:color="auto"/>
              <w:right w:val="single" w:sz="4" w:space="0" w:color="auto"/>
            </w:tcBorders>
            <w:shd w:val="clear" w:color="000000" w:fill="FFFFFF"/>
            <w:noWrap/>
            <w:vAlign w:val="bottom"/>
            <w:hideMark/>
          </w:tcPr>
          <w:p w14:paraId="094FEF9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4879,00</w:t>
            </w:r>
          </w:p>
        </w:tc>
        <w:tc>
          <w:tcPr>
            <w:tcW w:w="1000" w:type="dxa"/>
            <w:tcBorders>
              <w:top w:val="nil"/>
              <w:left w:val="nil"/>
              <w:bottom w:val="single" w:sz="4" w:space="0" w:color="auto"/>
              <w:right w:val="single" w:sz="4" w:space="0" w:color="auto"/>
            </w:tcBorders>
            <w:shd w:val="clear" w:color="000000" w:fill="FFFFFF"/>
            <w:noWrap/>
            <w:vAlign w:val="bottom"/>
            <w:hideMark/>
          </w:tcPr>
          <w:p w14:paraId="5AA7758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4768,50</w:t>
            </w:r>
          </w:p>
        </w:tc>
        <w:tc>
          <w:tcPr>
            <w:tcW w:w="1120" w:type="dxa"/>
            <w:tcBorders>
              <w:top w:val="nil"/>
              <w:left w:val="nil"/>
              <w:bottom w:val="single" w:sz="4" w:space="0" w:color="auto"/>
              <w:right w:val="single" w:sz="4" w:space="0" w:color="auto"/>
            </w:tcBorders>
            <w:shd w:val="clear" w:color="000000" w:fill="FFFFFF"/>
            <w:noWrap/>
            <w:vAlign w:val="bottom"/>
            <w:hideMark/>
          </w:tcPr>
          <w:p w14:paraId="6555B28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6252,50</w:t>
            </w:r>
          </w:p>
        </w:tc>
      </w:tr>
      <w:tr w:rsidR="00B42464" w:rsidRPr="002D4864" w14:paraId="5755A88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C717BF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w:t>
            </w:r>
          </w:p>
        </w:tc>
        <w:tc>
          <w:tcPr>
            <w:tcW w:w="1845" w:type="dxa"/>
            <w:tcBorders>
              <w:top w:val="nil"/>
              <w:left w:val="nil"/>
              <w:bottom w:val="single" w:sz="4" w:space="0" w:color="auto"/>
              <w:right w:val="single" w:sz="4" w:space="0" w:color="auto"/>
            </w:tcBorders>
            <w:shd w:val="clear" w:color="000000" w:fill="FFFFFF"/>
            <w:noWrap/>
            <w:vAlign w:val="bottom"/>
            <w:hideMark/>
          </w:tcPr>
          <w:p w14:paraId="78ACEB5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E2F0D9" w:fill="FFFFFF"/>
            <w:noWrap/>
            <w:vAlign w:val="bottom"/>
            <w:hideMark/>
          </w:tcPr>
          <w:p w14:paraId="1CCCA50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Lõunaranna sadam</w:t>
            </w:r>
          </w:p>
        </w:tc>
        <w:tc>
          <w:tcPr>
            <w:tcW w:w="805" w:type="dxa"/>
            <w:tcBorders>
              <w:top w:val="nil"/>
              <w:left w:val="nil"/>
              <w:bottom w:val="single" w:sz="4" w:space="0" w:color="auto"/>
              <w:right w:val="single" w:sz="4" w:space="0" w:color="auto"/>
            </w:tcBorders>
            <w:shd w:val="clear" w:color="000000" w:fill="FFFFFF"/>
            <w:noWrap/>
            <w:vAlign w:val="bottom"/>
            <w:hideMark/>
          </w:tcPr>
          <w:p w14:paraId="71E390F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2095,00</w:t>
            </w:r>
          </w:p>
        </w:tc>
        <w:tc>
          <w:tcPr>
            <w:tcW w:w="1120" w:type="dxa"/>
            <w:tcBorders>
              <w:top w:val="nil"/>
              <w:left w:val="nil"/>
              <w:bottom w:val="single" w:sz="4" w:space="0" w:color="auto"/>
              <w:right w:val="single" w:sz="4" w:space="0" w:color="auto"/>
            </w:tcBorders>
            <w:shd w:val="clear" w:color="000000" w:fill="FFFFFF"/>
            <w:noWrap/>
            <w:vAlign w:val="bottom"/>
            <w:hideMark/>
          </w:tcPr>
          <w:p w14:paraId="423C95D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1627,50</w:t>
            </w:r>
          </w:p>
        </w:tc>
        <w:tc>
          <w:tcPr>
            <w:tcW w:w="1140" w:type="dxa"/>
            <w:tcBorders>
              <w:top w:val="nil"/>
              <w:left w:val="nil"/>
              <w:bottom w:val="single" w:sz="4" w:space="0" w:color="auto"/>
              <w:right w:val="single" w:sz="4" w:space="0" w:color="auto"/>
            </w:tcBorders>
            <w:shd w:val="clear" w:color="000000" w:fill="FFFFFF"/>
            <w:noWrap/>
            <w:vAlign w:val="bottom"/>
            <w:hideMark/>
          </w:tcPr>
          <w:p w14:paraId="294D31B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2879,00</w:t>
            </w:r>
          </w:p>
        </w:tc>
        <w:tc>
          <w:tcPr>
            <w:tcW w:w="1120" w:type="dxa"/>
            <w:tcBorders>
              <w:top w:val="nil"/>
              <w:left w:val="nil"/>
              <w:bottom w:val="single" w:sz="4" w:space="0" w:color="auto"/>
              <w:right w:val="single" w:sz="4" w:space="0" w:color="auto"/>
            </w:tcBorders>
            <w:shd w:val="clear" w:color="000000" w:fill="FFFFFF"/>
            <w:noWrap/>
            <w:vAlign w:val="bottom"/>
            <w:hideMark/>
          </w:tcPr>
          <w:p w14:paraId="117A41A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1610,00</w:t>
            </w:r>
          </w:p>
        </w:tc>
        <w:tc>
          <w:tcPr>
            <w:tcW w:w="1000" w:type="dxa"/>
            <w:tcBorders>
              <w:top w:val="nil"/>
              <w:left w:val="nil"/>
              <w:bottom w:val="single" w:sz="4" w:space="0" w:color="auto"/>
              <w:right w:val="single" w:sz="4" w:space="0" w:color="auto"/>
            </w:tcBorders>
            <w:shd w:val="clear" w:color="000000" w:fill="FFFFFF"/>
            <w:noWrap/>
            <w:vAlign w:val="bottom"/>
            <w:hideMark/>
          </w:tcPr>
          <w:p w14:paraId="1A3598A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1797,00</w:t>
            </w:r>
          </w:p>
        </w:tc>
        <w:tc>
          <w:tcPr>
            <w:tcW w:w="1000" w:type="dxa"/>
            <w:tcBorders>
              <w:top w:val="nil"/>
              <w:left w:val="nil"/>
              <w:bottom w:val="single" w:sz="4" w:space="0" w:color="auto"/>
              <w:right w:val="single" w:sz="4" w:space="0" w:color="auto"/>
            </w:tcBorders>
            <w:shd w:val="clear" w:color="000000" w:fill="FFFFFF"/>
            <w:noWrap/>
            <w:vAlign w:val="bottom"/>
            <w:hideMark/>
          </w:tcPr>
          <w:p w14:paraId="152D471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1031,00</w:t>
            </w:r>
          </w:p>
        </w:tc>
        <w:tc>
          <w:tcPr>
            <w:tcW w:w="1120" w:type="dxa"/>
            <w:tcBorders>
              <w:top w:val="nil"/>
              <w:left w:val="nil"/>
              <w:bottom w:val="single" w:sz="4" w:space="0" w:color="auto"/>
              <w:right w:val="single" w:sz="4" w:space="0" w:color="auto"/>
            </w:tcBorders>
            <w:shd w:val="clear" w:color="000000" w:fill="FFFFFF"/>
            <w:noWrap/>
            <w:vAlign w:val="bottom"/>
            <w:hideMark/>
          </w:tcPr>
          <w:p w14:paraId="050CCE5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1136,00</w:t>
            </w:r>
          </w:p>
        </w:tc>
      </w:tr>
      <w:tr w:rsidR="00B42464" w:rsidRPr="002D4864" w14:paraId="07F8523C"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C2F9F6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w:t>
            </w:r>
          </w:p>
        </w:tc>
        <w:tc>
          <w:tcPr>
            <w:tcW w:w="1845" w:type="dxa"/>
            <w:tcBorders>
              <w:top w:val="nil"/>
              <w:left w:val="nil"/>
              <w:bottom w:val="single" w:sz="4" w:space="0" w:color="auto"/>
              <w:right w:val="single" w:sz="4" w:space="0" w:color="auto"/>
            </w:tcBorders>
            <w:shd w:val="clear" w:color="000000" w:fill="FFFFFF"/>
            <w:noWrap/>
            <w:vAlign w:val="bottom"/>
            <w:hideMark/>
          </w:tcPr>
          <w:p w14:paraId="1A033A7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000000" w:fill="FFFFFF"/>
            <w:noWrap/>
            <w:vAlign w:val="bottom"/>
            <w:hideMark/>
          </w:tcPr>
          <w:p w14:paraId="08E7A1D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Pädaste</w:t>
            </w:r>
            <w:proofErr w:type="spellEnd"/>
            <w:r w:rsidRPr="002D4864">
              <w:rPr>
                <w:rFonts w:ascii="Times New Roman" w:eastAsia="Times New Roman" w:hAnsi="Times New Roman" w:cs="Times New Roman"/>
                <w:color w:val="000000"/>
                <w:sz w:val="22"/>
                <w:szCs w:val="22"/>
              </w:rPr>
              <w:t xml:space="preserve"> sadam</w:t>
            </w:r>
          </w:p>
        </w:tc>
        <w:tc>
          <w:tcPr>
            <w:tcW w:w="805" w:type="dxa"/>
            <w:tcBorders>
              <w:top w:val="nil"/>
              <w:left w:val="nil"/>
              <w:bottom w:val="single" w:sz="4" w:space="0" w:color="auto"/>
              <w:right w:val="single" w:sz="4" w:space="0" w:color="auto"/>
            </w:tcBorders>
            <w:shd w:val="clear" w:color="000000" w:fill="FFFFFF"/>
            <w:noWrap/>
            <w:vAlign w:val="bottom"/>
            <w:hideMark/>
          </w:tcPr>
          <w:p w14:paraId="39391D3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481,00</w:t>
            </w:r>
          </w:p>
        </w:tc>
        <w:tc>
          <w:tcPr>
            <w:tcW w:w="1120" w:type="dxa"/>
            <w:tcBorders>
              <w:top w:val="nil"/>
              <w:left w:val="nil"/>
              <w:bottom w:val="single" w:sz="4" w:space="0" w:color="auto"/>
              <w:right w:val="single" w:sz="4" w:space="0" w:color="auto"/>
            </w:tcBorders>
            <w:shd w:val="clear" w:color="000000" w:fill="FFFFFF"/>
            <w:noWrap/>
            <w:vAlign w:val="bottom"/>
            <w:hideMark/>
          </w:tcPr>
          <w:p w14:paraId="5F2355F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497,00</w:t>
            </w:r>
          </w:p>
        </w:tc>
        <w:tc>
          <w:tcPr>
            <w:tcW w:w="1140" w:type="dxa"/>
            <w:tcBorders>
              <w:top w:val="nil"/>
              <w:left w:val="nil"/>
              <w:bottom w:val="single" w:sz="4" w:space="0" w:color="auto"/>
              <w:right w:val="single" w:sz="4" w:space="0" w:color="auto"/>
            </w:tcBorders>
            <w:shd w:val="clear" w:color="000000" w:fill="FFFFFF"/>
            <w:noWrap/>
            <w:vAlign w:val="bottom"/>
            <w:hideMark/>
          </w:tcPr>
          <w:p w14:paraId="69A6F14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489,00</w:t>
            </w:r>
          </w:p>
        </w:tc>
        <w:tc>
          <w:tcPr>
            <w:tcW w:w="1120" w:type="dxa"/>
            <w:tcBorders>
              <w:top w:val="nil"/>
              <w:left w:val="nil"/>
              <w:bottom w:val="single" w:sz="4" w:space="0" w:color="auto"/>
              <w:right w:val="single" w:sz="4" w:space="0" w:color="auto"/>
            </w:tcBorders>
            <w:shd w:val="clear" w:color="000000" w:fill="FFFFFF"/>
            <w:noWrap/>
            <w:vAlign w:val="bottom"/>
            <w:hideMark/>
          </w:tcPr>
          <w:p w14:paraId="4482076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401,00</w:t>
            </w:r>
          </w:p>
        </w:tc>
        <w:tc>
          <w:tcPr>
            <w:tcW w:w="1000" w:type="dxa"/>
            <w:tcBorders>
              <w:top w:val="nil"/>
              <w:left w:val="nil"/>
              <w:bottom w:val="single" w:sz="4" w:space="0" w:color="auto"/>
              <w:right w:val="single" w:sz="4" w:space="0" w:color="auto"/>
            </w:tcBorders>
            <w:shd w:val="clear" w:color="000000" w:fill="FFFFFF"/>
            <w:noWrap/>
            <w:vAlign w:val="bottom"/>
            <w:hideMark/>
          </w:tcPr>
          <w:p w14:paraId="4B61F9F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266,00</w:t>
            </w:r>
          </w:p>
        </w:tc>
        <w:tc>
          <w:tcPr>
            <w:tcW w:w="1000" w:type="dxa"/>
            <w:tcBorders>
              <w:top w:val="nil"/>
              <w:left w:val="nil"/>
              <w:bottom w:val="single" w:sz="4" w:space="0" w:color="auto"/>
              <w:right w:val="single" w:sz="4" w:space="0" w:color="auto"/>
            </w:tcBorders>
            <w:shd w:val="clear" w:color="000000" w:fill="FFFFFF"/>
            <w:noWrap/>
            <w:vAlign w:val="bottom"/>
            <w:hideMark/>
          </w:tcPr>
          <w:p w14:paraId="08C0526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98,00</w:t>
            </w:r>
          </w:p>
        </w:tc>
        <w:tc>
          <w:tcPr>
            <w:tcW w:w="1120" w:type="dxa"/>
            <w:tcBorders>
              <w:top w:val="nil"/>
              <w:left w:val="nil"/>
              <w:bottom w:val="single" w:sz="4" w:space="0" w:color="auto"/>
              <w:right w:val="single" w:sz="4" w:space="0" w:color="auto"/>
            </w:tcBorders>
            <w:shd w:val="clear" w:color="000000" w:fill="FFFFFF"/>
            <w:noWrap/>
            <w:vAlign w:val="bottom"/>
            <w:hideMark/>
          </w:tcPr>
          <w:p w14:paraId="5525033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B42464" w:rsidRPr="002D4864" w14:paraId="5807E7A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C777CB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w:t>
            </w:r>
          </w:p>
        </w:tc>
        <w:tc>
          <w:tcPr>
            <w:tcW w:w="1845" w:type="dxa"/>
            <w:tcBorders>
              <w:top w:val="nil"/>
              <w:left w:val="nil"/>
              <w:bottom w:val="single" w:sz="4" w:space="0" w:color="auto"/>
              <w:right w:val="single" w:sz="4" w:space="0" w:color="auto"/>
            </w:tcBorders>
            <w:shd w:val="clear" w:color="000000" w:fill="FFFFFF"/>
            <w:noWrap/>
            <w:vAlign w:val="bottom"/>
            <w:hideMark/>
          </w:tcPr>
          <w:p w14:paraId="6EF79BA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000000" w:fill="FFFFFF"/>
            <w:noWrap/>
            <w:vAlign w:val="bottom"/>
            <w:hideMark/>
          </w:tcPr>
          <w:p w14:paraId="2C1AE0C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Rannaküla sadam</w:t>
            </w:r>
          </w:p>
        </w:tc>
        <w:tc>
          <w:tcPr>
            <w:tcW w:w="805" w:type="dxa"/>
            <w:tcBorders>
              <w:top w:val="nil"/>
              <w:left w:val="nil"/>
              <w:bottom w:val="single" w:sz="4" w:space="0" w:color="auto"/>
              <w:right w:val="single" w:sz="4" w:space="0" w:color="auto"/>
            </w:tcBorders>
            <w:shd w:val="clear" w:color="000000" w:fill="FFFFFF"/>
            <w:noWrap/>
            <w:vAlign w:val="bottom"/>
            <w:hideMark/>
          </w:tcPr>
          <w:p w14:paraId="1E2D47D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542,00</w:t>
            </w:r>
          </w:p>
        </w:tc>
        <w:tc>
          <w:tcPr>
            <w:tcW w:w="1120" w:type="dxa"/>
            <w:tcBorders>
              <w:top w:val="nil"/>
              <w:left w:val="nil"/>
              <w:bottom w:val="single" w:sz="4" w:space="0" w:color="auto"/>
              <w:right w:val="single" w:sz="4" w:space="0" w:color="auto"/>
            </w:tcBorders>
            <w:shd w:val="clear" w:color="000000" w:fill="FFFFFF"/>
            <w:noWrap/>
            <w:vAlign w:val="bottom"/>
            <w:hideMark/>
          </w:tcPr>
          <w:p w14:paraId="4A2918D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621,00</w:t>
            </w:r>
          </w:p>
        </w:tc>
        <w:tc>
          <w:tcPr>
            <w:tcW w:w="1140" w:type="dxa"/>
            <w:tcBorders>
              <w:top w:val="nil"/>
              <w:left w:val="nil"/>
              <w:bottom w:val="single" w:sz="4" w:space="0" w:color="auto"/>
              <w:right w:val="single" w:sz="4" w:space="0" w:color="auto"/>
            </w:tcBorders>
            <w:shd w:val="clear" w:color="000000" w:fill="FFFFFF"/>
            <w:noWrap/>
            <w:vAlign w:val="bottom"/>
            <w:hideMark/>
          </w:tcPr>
          <w:p w14:paraId="25AB740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689,00</w:t>
            </w:r>
          </w:p>
        </w:tc>
        <w:tc>
          <w:tcPr>
            <w:tcW w:w="1120" w:type="dxa"/>
            <w:tcBorders>
              <w:top w:val="nil"/>
              <w:left w:val="nil"/>
              <w:bottom w:val="single" w:sz="4" w:space="0" w:color="auto"/>
              <w:right w:val="single" w:sz="4" w:space="0" w:color="auto"/>
            </w:tcBorders>
            <w:shd w:val="clear" w:color="000000" w:fill="FFFFFF"/>
            <w:noWrap/>
            <w:vAlign w:val="bottom"/>
            <w:hideMark/>
          </w:tcPr>
          <w:p w14:paraId="3D8F350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532,00</w:t>
            </w:r>
          </w:p>
        </w:tc>
        <w:tc>
          <w:tcPr>
            <w:tcW w:w="1000" w:type="dxa"/>
            <w:tcBorders>
              <w:top w:val="nil"/>
              <w:left w:val="nil"/>
              <w:bottom w:val="single" w:sz="4" w:space="0" w:color="auto"/>
              <w:right w:val="single" w:sz="4" w:space="0" w:color="auto"/>
            </w:tcBorders>
            <w:shd w:val="clear" w:color="000000" w:fill="FFFFFF"/>
            <w:noWrap/>
            <w:vAlign w:val="bottom"/>
            <w:hideMark/>
          </w:tcPr>
          <w:p w14:paraId="39F1B9B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469,00</w:t>
            </w:r>
          </w:p>
        </w:tc>
        <w:tc>
          <w:tcPr>
            <w:tcW w:w="1000" w:type="dxa"/>
            <w:tcBorders>
              <w:top w:val="nil"/>
              <w:left w:val="nil"/>
              <w:bottom w:val="single" w:sz="4" w:space="0" w:color="auto"/>
              <w:right w:val="single" w:sz="4" w:space="0" w:color="auto"/>
            </w:tcBorders>
            <w:shd w:val="clear" w:color="000000" w:fill="FFFFFF"/>
            <w:noWrap/>
            <w:vAlign w:val="bottom"/>
            <w:hideMark/>
          </w:tcPr>
          <w:p w14:paraId="096D699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646,00</w:t>
            </w:r>
          </w:p>
        </w:tc>
        <w:tc>
          <w:tcPr>
            <w:tcW w:w="1120" w:type="dxa"/>
            <w:tcBorders>
              <w:top w:val="nil"/>
              <w:left w:val="nil"/>
              <w:bottom w:val="single" w:sz="4" w:space="0" w:color="auto"/>
              <w:right w:val="single" w:sz="4" w:space="0" w:color="auto"/>
            </w:tcBorders>
            <w:shd w:val="clear" w:color="000000" w:fill="FFFFFF"/>
            <w:noWrap/>
            <w:vAlign w:val="bottom"/>
            <w:hideMark/>
          </w:tcPr>
          <w:p w14:paraId="457942E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437,50</w:t>
            </w:r>
          </w:p>
        </w:tc>
      </w:tr>
      <w:tr w:rsidR="00B42464" w:rsidRPr="002D4864" w14:paraId="797FE2F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24F3F7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w:t>
            </w:r>
          </w:p>
        </w:tc>
        <w:tc>
          <w:tcPr>
            <w:tcW w:w="1845" w:type="dxa"/>
            <w:tcBorders>
              <w:top w:val="nil"/>
              <w:left w:val="nil"/>
              <w:bottom w:val="single" w:sz="4" w:space="0" w:color="auto"/>
              <w:right w:val="single" w:sz="4" w:space="0" w:color="auto"/>
            </w:tcBorders>
            <w:shd w:val="clear" w:color="000000" w:fill="FFFFFF"/>
            <w:noWrap/>
            <w:vAlign w:val="bottom"/>
            <w:hideMark/>
          </w:tcPr>
          <w:p w14:paraId="7543C3B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000000" w:fill="FFFFFF"/>
            <w:noWrap/>
            <w:vAlign w:val="bottom"/>
            <w:hideMark/>
          </w:tcPr>
          <w:p w14:paraId="43B79EB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Rässa</w:t>
            </w:r>
            <w:proofErr w:type="spellEnd"/>
            <w:r w:rsidRPr="002D4864">
              <w:rPr>
                <w:rFonts w:ascii="Times New Roman" w:eastAsia="Times New Roman" w:hAnsi="Times New Roman" w:cs="Times New Roman"/>
                <w:color w:val="000000"/>
                <w:sz w:val="22"/>
                <w:szCs w:val="22"/>
              </w:rPr>
              <w:t xml:space="preserve"> sadam</w:t>
            </w:r>
          </w:p>
        </w:tc>
        <w:tc>
          <w:tcPr>
            <w:tcW w:w="805" w:type="dxa"/>
            <w:tcBorders>
              <w:top w:val="nil"/>
              <w:left w:val="nil"/>
              <w:bottom w:val="single" w:sz="4" w:space="0" w:color="auto"/>
              <w:right w:val="single" w:sz="4" w:space="0" w:color="auto"/>
            </w:tcBorders>
            <w:shd w:val="clear" w:color="000000" w:fill="FFFFFF"/>
            <w:noWrap/>
            <w:vAlign w:val="bottom"/>
            <w:hideMark/>
          </w:tcPr>
          <w:p w14:paraId="764FBF1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14,50</w:t>
            </w:r>
          </w:p>
        </w:tc>
        <w:tc>
          <w:tcPr>
            <w:tcW w:w="1120" w:type="dxa"/>
            <w:tcBorders>
              <w:top w:val="nil"/>
              <w:left w:val="nil"/>
              <w:bottom w:val="single" w:sz="4" w:space="0" w:color="auto"/>
              <w:right w:val="single" w:sz="4" w:space="0" w:color="auto"/>
            </w:tcBorders>
            <w:shd w:val="clear" w:color="000000" w:fill="FFFFFF"/>
            <w:noWrap/>
            <w:vAlign w:val="bottom"/>
            <w:hideMark/>
          </w:tcPr>
          <w:p w14:paraId="6C62F0E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47,00</w:t>
            </w:r>
          </w:p>
        </w:tc>
        <w:tc>
          <w:tcPr>
            <w:tcW w:w="1140" w:type="dxa"/>
            <w:tcBorders>
              <w:top w:val="nil"/>
              <w:left w:val="nil"/>
              <w:bottom w:val="single" w:sz="4" w:space="0" w:color="auto"/>
              <w:right w:val="single" w:sz="4" w:space="0" w:color="auto"/>
            </w:tcBorders>
            <w:shd w:val="clear" w:color="000000" w:fill="FFFFFF"/>
            <w:noWrap/>
            <w:vAlign w:val="bottom"/>
            <w:hideMark/>
          </w:tcPr>
          <w:p w14:paraId="2AC0D16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61,00</w:t>
            </w:r>
          </w:p>
        </w:tc>
        <w:tc>
          <w:tcPr>
            <w:tcW w:w="1120" w:type="dxa"/>
            <w:tcBorders>
              <w:top w:val="nil"/>
              <w:left w:val="nil"/>
              <w:bottom w:val="single" w:sz="4" w:space="0" w:color="auto"/>
              <w:right w:val="single" w:sz="4" w:space="0" w:color="auto"/>
            </w:tcBorders>
            <w:shd w:val="clear" w:color="000000" w:fill="FFFFFF"/>
            <w:noWrap/>
            <w:vAlign w:val="bottom"/>
            <w:hideMark/>
          </w:tcPr>
          <w:p w14:paraId="422EC75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40,50</w:t>
            </w:r>
          </w:p>
        </w:tc>
        <w:tc>
          <w:tcPr>
            <w:tcW w:w="1000" w:type="dxa"/>
            <w:tcBorders>
              <w:top w:val="nil"/>
              <w:left w:val="nil"/>
              <w:bottom w:val="single" w:sz="4" w:space="0" w:color="auto"/>
              <w:right w:val="single" w:sz="4" w:space="0" w:color="auto"/>
            </w:tcBorders>
            <w:shd w:val="clear" w:color="000000" w:fill="FFFFFF"/>
            <w:noWrap/>
            <w:vAlign w:val="bottom"/>
            <w:hideMark/>
          </w:tcPr>
          <w:p w14:paraId="17A1594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36,00</w:t>
            </w:r>
          </w:p>
        </w:tc>
        <w:tc>
          <w:tcPr>
            <w:tcW w:w="1000" w:type="dxa"/>
            <w:tcBorders>
              <w:top w:val="nil"/>
              <w:left w:val="nil"/>
              <w:bottom w:val="single" w:sz="4" w:space="0" w:color="auto"/>
              <w:right w:val="single" w:sz="4" w:space="0" w:color="auto"/>
            </w:tcBorders>
            <w:shd w:val="clear" w:color="000000" w:fill="FFFFFF"/>
            <w:noWrap/>
            <w:vAlign w:val="bottom"/>
            <w:hideMark/>
          </w:tcPr>
          <w:p w14:paraId="23EAAD0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29,00</w:t>
            </w:r>
          </w:p>
        </w:tc>
        <w:tc>
          <w:tcPr>
            <w:tcW w:w="1120" w:type="dxa"/>
            <w:tcBorders>
              <w:top w:val="nil"/>
              <w:left w:val="nil"/>
              <w:bottom w:val="single" w:sz="4" w:space="0" w:color="auto"/>
              <w:right w:val="single" w:sz="4" w:space="0" w:color="auto"/>
            </w:tcBorders>
            <w:shd w:val="clear" w:color="000000" w:fill="FFFFFF"/>
            <w:noWrap/>
            <w:vAlign w:val="bottom"/>
            <w:hideMark/>
          </w:tcPr>
          <w:p w14:paraId="7CFC637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r>
      <w:tr w:rsidR="00B42464" w:rsidRPr="002D4864" w14:paraId="62D60944"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3A32A30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w:t>
            </w:r>
          </w:p>
        </w:tc>
        <w:tc>
          <w:tcPr>
            <w:tcW w:w="1845" w:type="dxa"/>
            <w:tcBorders>
              <w:top w:val="nil"/>
              <w:left w:val="nil"/>
              <w:bottom w:val="single" w:sz="4" w:space="0" w:color="auto"/>
              <w:right w:val="single" w:sz="4" w:space="0" w:color="auto"/>
            </w:tcBorders>
            <w:shd w:val="clear" w:color="F8CBAD" w:fill="FFFFFF"/>
            <w:noWrap/>
            <w:vAlign w:val="bottom"/>
            <w:hideMark/>
          </w:tcPr>
          <w:p w14:paraId="43A5FFA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F8CBAD" w:fill="FFFFFF"/>
            <w:noWrap/>
            <w:vAlign w:val="bottom"/>
            <w:hideMark/>
          </w:tcPr>
          <w:p w14:paraId="524E03B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Seanina kalasadam</w:t>
            </w:r>
          </w:p>
        </w:tc>
        <w:tc>
          <w:tcPr>
            <w:tcW w:w="805" w:type="dxa"/>
            <w:tcBorders>
              <w:top w:val="nil"/>
              <w:left w:val="nil"/>
              <w:bottom w:val="single" w:sz="4" w:space="0" w:color="auto"/>
              <w:right w:val="single" w:sz="4" w:space="0" w:color="auto"/>
            </w:tcBorders>
            <w:shd w:val="clear" w:color="F8CBAD" w:fill="FFFFFF"/>
            <w:noWrap/>
            <w:vAlign w:val="bottom"/>
            <w:hideMark/>
          </w:tcPr>
          <w:p w14:paraId="15F126A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5F6382D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07A0681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2FC56A2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00" w:type="dxa"/>
            <w:tcBorders>
              <w:top w:val="nil"/>
              <w:left w:val="nil"/>
              <w:bottom w:val="single" w:sz="4" w:space="0" w:color="auto"/>
              <w:right w:val="single" w:sz="4" w:space="0" w:color="auto"/>
            </w:tcBorders>
            <w:shd w:val="clear" w:color="F8CBAD" w:fill="FFFFFF"/>
            <w:noWrap/>
            <w:vAlign w:val="bottom"/>
            <w:hideMark/>
          </w:tcPr>
          <w:p w14:paraId="4387594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00" w:type="dxa"/>
            <w:tcBorders>
              <w:top w:val="nil"/>
              <w:left w:val="nil"/>
              <w:bottom w:val="single" w:sz="4" w:space="0" w:color="auto"/>
              <w:right w:val="single" w:sz="4" w:space="0" w:color="auto"/>
            </w:tcBorders>
            <w:shd w:val="clear" w:color="F8CBAD" w:fill="FFFFFF"/>
            <w:noWrap/>
            <w:vAlign w:val="bottom"/>
            <w:hideMark/>
          </w:tcPr>
          <w:p w14:paraId="3A78C83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56,00</w:t>
            </w:r>
          </w:p>
        </w:tc>
        <w:tc>
          <w:tcPr>
            <w:tcW w:w="1120" w:type="dxa"/>
            <w:tcBorders>
              <w:top w:val="nil"/>
              <w:left w:val="nil"/>
              <w:bottom w:val="single" w:sz="4" w:space="0" w:color="auto"/>
              <w:right w:val="single" w:sz="4" w:space="0" w:color="auto"/>
            </w:tcBorders>
            <w:shd w:val="clear" w:color="F8CBAD" w:fill="FFFFFF"/>
            <w:noWrap/>
            <w:vAlign w:val="bottom"/>
            <w:hideMark/>
          </w:tcPr>
          <w:p w14:paraId="46A5D48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3,00</w:t>
            </w:r>
          </w:p>
        </w:tc>
      </w:tr>
      <w:tr w:rsidR="00B42464" w:rsidRPr="002D4864" w14:paraId="29915AEB"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482E5C9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w:t>
            </w:r>
          </w:p>
        </w:tc>
        <w:tc>
          <w:tcPr>
            <w:tcW w:w="1845" w:type="dxa"/>
            <w:tcBorders>
              <w:top w:val="nil"/>
              <w:left w:val="nil"/>
              <w:bottom w:val="single" w:sz="4" w:space="0" w:color="auto"/>
              <w:right w:val="single" w:sz="4" w:space="0" w:color="auto"/>
            </w:tcBorders>
            <w:shd w:val="clear" w:color="F8CBAD" w:fill="FFFFFF"/>
            <w:noWrap/>
            <w:vAlign w:val="bottom"/>
            <w:hideMark/>
          </w:tcPr>
          <w:p w14:paraId="35A282A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F8CBAD" w:fill="FFFFFF"/>
            <w:noWrap/>
            <w:vAlign w:val="bottom"/>
            <w:hideMark/>
          </w:tcPr>
          <w:p w14:paraId="367B98F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Simisti</w:t>
            </w:r>
            <w:proofErr w:type="spellEnd"/>
            <w:r w:rsidRPr="002D4864">
              <w:rPr>
                <w:rFonts w:ascii="Times New Roman" w:eastAsia="Times New Roman" w:hAnsi="Times New Roman" w:cs="Times New Roman"/>
                <w:color w:val="000000"/>
                <w:sz w:val="22"/>
                <w:szCs w:val="22"/>
              </w:rPr>
              <w:t xml:space="preserve"> </w:t>
            </w:r>
          </w:p>
        </w:tc>
        <w:tc>
          <w:tcPr>
            <w:tcW w:w="805" w:type="dxa"/>
            <w:tcBorders>
              <w:top w:val="nil"/>
              <w:left w:val="nil"/>
              <w:bottom w:val="single" w:sz="4" w:space="0" w:color="auto"/>
              <w:right w:val="single" w:sz="4" w:space="0" w:color="auto"/>
            </w:tcBorders>
            <w:shd w:val="clear" w:color="F8CBAD" w:fill="FFFFFF"/>
            <w:noWrap/>
            <w:vAlign w:val="bottom"/>
            <w:hideMark/>
          </w:tcPr>
          <w:p w14:paraId="3EA8E49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70568E6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43A1266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184B57B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30,00</w:t>
            </w:r>
          </w:p>
        </w:tc>
        <w:tc>
          <w:tcPr>
            <w:tcW w:w="1000" w:type="dxa"/>
            <w:tcBorders>
              <w:top w:val="nil"/>
              <w:left w:val="nil"/>
              <w:bottom w:val="single" w:sz="4" w:space="0" w:color="auto"/>
              <w:right w:val="single" w:sz="4" w:space="0" w:color="auto"/>
            </w:tcBorders>
            <w:shd w:val="clear" w:color="F8CBAD" w:fill="FFFFFF"/>
            <w:noWrap/>
            <w:vAlign w:val="bottom"/>
            <w:hideMark/>
          </w:tcPr>
          <w:p w14:paraId="1D70216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00" w:type="dxa"/>
            <w:tcBorders>
              <w:top w:val="nil"/>
              <w:left w:val="nil"/>
              <w:bottom w:val="single" w:sz="4" w:space="0" w:color="auto"/>
              <w:right w:val="single" w:sz="4" w:space="0" w:color="auto"/>
            </w:tcBorders>
            <w:shd w:val="clear" w:color="F8CBAD" w:fill="FFFFFF"/>
            <w:noWrap/>
            <w:vAlign w:val="bottom"/>
            <w:hideMark/>
          </w:tcPr>
          <w:p w14:paraId="71BF43A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5193AE4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B42464" w:rsidRPr="002D4864" w14:paraId="39551DEF"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859B8A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w:t>
            </w:r>
          </w:p>
        </w:tc>
        <w:tc>
          <w:tcPr>
            <w:tcW w:w="1845" w:type="dxa"/>
            <w:tcBorders>
              <w:top w:val="nil"/>
              <w:left w:val="nil"/>
              <w:bottom w:val="single" w:sz="4" w:space="0" w:color="auto"/>
              <w:right w:val="single" w:sz="4" w:space="0" w:color="auto"/>
            </w:tcBorders>
            <w:shd w:val="clear" w:color="000000" w:fill="FFFFFF"/>
            <w:noWrap/>
            <w:vAlign w:val="bottom"/>
            <w:hideMark/>
          </w:tcPr>
          <w:p w14:paraId="350D728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000000" w:fill="FFFFFF"/>
            <w:noWrap/>
            <w:vAlign w:val="bottom"/>
            <w:hideMark/>
          </w:tcPr>
          <w:p w14:paraId="5FEF5DB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Võrka</w:t>
            </w:r>
            <w:proofErr w:type="spellEnd"/>
          </w:p>
        </w:tc>
        <w:tc>
          <w:tcPr>
            <w:tcW w:w="805" w:type="dxa"/>
            <w:tcBorders>
              <w:top w:val="nil"/>
              <w:left w:val="nil"/>
              <w:bottom w:val="single" w:sz="4" w:space="0" w:color="auto"/>
              <w:right w:val="single" w:sz="4" w:space="0" w:color="auto"/>
            </w:tcBorders>
            <w:shd w:val="clear" w:color="000000" w:fill="FFFFFF"/>
            <w:noWrap/>
            <w:vAlign w:val="bottom"/>
            <w:hideMark/>
          </w:tcPr>
          <w:p w14:paraId="7CEA0F1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1336,50</w:t>
            </w:r>
          </w:p>
        </w:tc>
        <w:tc>
          <w:tcPr>
            <w:tcW w:w="1120" w:type="dxa"/>
            <w:tcBorders>
              <w:top w:val="nil"/>
              <w:left w:val="nil"/>
              <w:bottom w:val="single" w:sz="4" w:space="0" w:color="auto"/>
              <w:right w:val="single" w:sz="4" w:space="0" w:color="auto"/>
            </w:tcBorders>
            <w:shd w:val="clear" w:color="000000" w:fill="FFFFFF"/>
            <w:noWrap/>
            <w:vAlign w:val="bottom"/>
            <w:hideMark/>
          </w:tcPr>
          <w:p w14:paraId="3A50C8C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808,00</w:t>
            </w:r>
          </w:p>
        </w:tc>
        <w:tc>
          <w:tcPr>
            <w:tcW w:w="1140" w:type="dxa"/>
            <w:tcBorders>
              <w:top w:val="nil"/>
              <w:left w:val="nil"/>
              <w:bottom w:val="single" w:sz="4" w:space="0" w:color="auto"/>
              <w:right w:val="single" w:sz="4" w:space="0" w:color="auto"/>
            </w:tcBorders>
            <w:shd w:val="clear" w:color="000000" w:fill="FFFFFF"/>
            <w:noWrap/>
            <w:vAlign w:val="bottom"/>
            <w:hideMark/>
          </w:tcPr>
          <w:p w14:paraId="48327C5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1064,00</w:t>
            </w:r>
          </w:p>
        </w:tc>
        <w:tc>
          <w:tcPr>
            <w:tcW w:w="1120" w:type="dxa"/>
            <w:tcBorders>
              <w:top w:val="nil"/>
              <w:left w:val="nil"/>
              <w:bottom w:val="single" w:sz="4" w:space="0" w:color="auto"/>
              <w:right w:val="single" w:sz="4" w:space="0" w:color="auto"/>
            </w:tcBorders>
            <w:shd w:val="clear" w:color="000000" w:fill="FFFFFF"/>
            <w:noWrap/>
            <w:vAlign w:val="bottom"/>
            <w:hideMark/>
          </w:tcPr>
          <w:p w14:paraId="53D8E27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1833,00</w:t>
            </w:r>
          </w:p>
        </w:tc>
        <w:tc>
          <w:tcPr>
            <w:tcW w:w="1000" w:type="dxa"/>
            <w:tcBorders>
              <w:top w:val="nil"/>
              <w:left w:val="nil"/>
              <w:bottom w:val="single" w:sz="4" w:space="0" w:color="auto"/>
              <w:right w:val="single" w:sz="4" w:space="0" w:color="auto"/>
            </w:tcBorders>
            <w:shd w:val="clear" w:color="000000" w:fill="FFFFFF"/>
            <w:noWrap/>
            <w:vAlign w:val="bottom"/>
            <w:hideMark/>
          </w:tcPr>
          <w:p w14:paraId="4275707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4619,00</w:t>
            </w:r>
          </w:p>
        </w:tc>
        <w:tc>
          <w:tcPr>
            <w:tcW w:w="1000" w:type="dxa"/>
            <w:tcBorders>
              <w:top w:val="nil"/>
              <w:left w:val="nil"/>
              <w:bottom w:val="single" w:sz="4" w:space="0" w:color="auto"/>
              <w:right w:val="single" w:sz="4" w:space="0" w:color="auto"/>
            </w:tcBorders>
            <w:shd w:val="clear" w:color="000000" w:fill="FFFFFF"/>
            <w:noWrap/>
            <w:vAlign w:val="bottom"/>
            <w:hideMark/>
          </w:tcPr>
          <w:p w14:paraId="2E68284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71,00</w:t>
            </w:r>
          </w:p>
        </w:tc>
        <w:tc>
          <w:tcPr>
            <w:tcW w:w="1120" w:type="dxa"/>
            <w:tcBorders>
              <w:top w:val="nil"/>
              <w:left w:val="nil"/>
              <w:bottom w:val="single" w:sz="4" w:space="0" w:color="auto"/>
              <w:right w:val="single" w:sz="4" w:space="0" w:color="auto"/>
            </w:tcBorders>
            <w:shd w:val="clear" w:color="000000" w:fill="FFFFFF"/>
            <w:noWrap/>
            <w:vAlign w:val="bottom"/>
            <w:hideMark/>
          </w:tcPr>
          <w:p w14:paraId="6CDEC5B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774,00</w:t>
            </w:r>
          </w:p>
        </w:tc>
      </w:tr>
      <w:tr w:rsidR="00B42464" w:rsidRPr="002D4864" w14:paraId="2F7DFEF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16A22E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w:t>
            </w:r>
          </w:p>
        </w:tc>
        <w:tc>
          <w:tcPr>
            <w:tcW w:w="1845" w:type="dxa"/>
            <w:tcBorders>
              <w:top w:val="nil"/>
              <w:left w:val="nil"/>
              <w:bottom w:val="single" w:sz="4" w:space="0" w:color="auto"/>
              <w:right w:val="single" w:sz="4" w:space="0" w:color="auto"/>
            </w:tcBorders>
            <w:shd w:val="clear" w:color="000000" w:fill="FFFFFF"/>
            <w:noWrap/>
            <w:vAlign w:val="bottom"/>
            <w:hideMark/>
          </w:tcPr>
          <w:p w14:paraId="2FC8EF6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Muhu vald</w:t>
            </w:r>
          </w:p>
        </w:tc>
        <w:tc>
          <w:tcPr>
            <w:tcW w:w="2410" w:type="dxa"/>
            <w:tcBorders>
              <w:top w:val="nil"/>
              <w:left w:val="nil"/>
              <w:bottom w:val="single" w:sz="4" w:space="0" w:color="auto"/>
              <w:right w:val="single" w:sz="4" w:space="0" w:color="auto"/>
            </w:tcBorders>
            <w:shd w:val="clear" w:color="E2F0D9" w:fill="FFFFFF"/>
            <w:noWrap/>
            <w:vAlign w:val="bottom"/>
            <w:hideMark/>
          </w:tcPr>
          <w:p w14:paraId="4A94F7D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Võrkaia sadam</w:t>
            </w:r>
          </w:p>
        </w:tc>
        <w:tc>
          <w:tcPr>
            <w:tcW w:w="805" w:type="dxa"/>
            <w:tcBorders>
              <w:top w:val="nil"/>
              <w:left w:val="nil"/>
              <w:bottom w:val="single" w:sz="4" w:space="0" w:color="auto"/>
              <w:right w:val="single" w:sz="4" w:space="0" w:color="auto"/>
            </w:tcBorders>
            <w:shd w:val="clear" w:color="000000" w:fill="FFFFFF"/>
            <w:noWrap/>
            <w:vAlign w:val="bottom"/>
            <w:hideMark/>
          </w:tcPr>
          <w:p w14:paraId="4FF4E08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19268,00</w:t>
            </w:r>
          </w:p>
        </w:tc>
        <w:tc>
          <w:tcPr>
            <w:tcW w:w="1120" w:type="dxa"/>
            <w:tcBorders>
              <w:top w:val="nil"/>
              <w:left w:val="nil"/>
              <w:bottom w:val="single" w:sz="4" w:space="0" w:color="auto"/>
              <w:right w:val="single" w:sz="4" w:space="0" w:color="auto"/>
            </w:tcBorders>
            <w:shd w:val="clear" w:color="000000" w:fill="FFFFFF"/>
            <w:noWrap/>
            <w:vAlign w:val="bottom"/>
            <w:hideMark/>
          </w:tcPr>
          <w:p w14:paraId="00556FD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17451,00</w:t>
            </w:r>
          </w:p>
        </w:tc>
        <w:tc>
          <w:tcPr>
            <w:tcW w:w="1140" w:type="dxa"/>
            <w:tcBorders>
              <w:top w:val="nil"/>
              <w:left w:val="nil"/>
              <w:bottom w:val="single" w:sz="4" w:space="0" w:color="auto"/>
              <w:right w:val="single" w:sz="4" w:space="0" w:color="auto"/>
            </w:tcBorders>
            <w:shd w:val="clear" w:color="000000" w:fill="FFFFFF"/>
            <w:noWrap/>
            <w:vAlign w:val="bottom"/>
            <w:hideMark/>
          </w:tcPr>
          <w:p w14:paraId="68B0165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27597,20</w:t>
            </w:r>
          </w:p>
        </w:tc>
        <w:tc>
          <w:tcPr>
            <w:tcW w:w="1120" w:type="dxa"/>
            <w:tcBorders>
              <w:top w:val="nil"/>
              <w:left w:val="nil"/>
              <w:bottom w:val="single" w:sz="4" w:space="0" w:color="auto"/>
              <w:right w:val="single" w:sz="4" w:space="0" w:color="auto"/>
            </w:tcBorders>
            <w:shd w:val="clear" w:color="000000" w:fill="FFFFFF"/>
            <w:noWrap/>
            <w:vAlign w:val="bottom"/>
            <w:hideMark/>
          </w:tcPr>
          <w:p w14:paraId="4656114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18951,10</w:t>
            </w:r>
          </w:p>
        </w:tc>
        <w:tc>
          <w:tcPr>
            <w:tcW w:w="1000" w:type="dxa"/>
            <w:tcBorders>
              <w:top w:val="nil"/>
              <w:left w:val="nil"/>
              <w:bottom w:val="single" w:sz="4" w:space="0" w:color="auto"/>
              <w:right w:val="single" w:sz="4" w:space="0" w:color="auto"/>
            </w:tcBorders>
            <w:shd w:val="clear" w:color="000000" w:fill="FFFFFF"/>
            <w:noWrap/>
            <w:vAlign w:val="bottom"/>
            <w:hideMark/>
          </w:tcPr>
          <w:p w14:paraId="6EE09FF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9706,00</w:t>
            </w:r>
          </w:p>
        </w:tc>
        <w:tc>
          <w:tcPr>
            <w:tcW w:w="1000" w:type="dxa"/>
            <w:tcBorders>
              <w:top w:val="nil"/>
              <w:left w:val="nil"/>
              <w:bottom w:val="single" w:sz="4" w:space="0" w:color="auto"/>
              <w:right w:val="single" w:sz="4" w:space="0" w:color="auto"/>
            </w:tcBorders>
            <w:shd w:val="clear" w:color="000000" w:fill="FFFFFF"/>
            <w:noWrap/>
            <w:vAlign w:val="bottom"/>
            <w:hideMark/>
          </w:tcPr>
          <w:p w14:paraId="3A6586C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22056,50</w:t>
            </w:r>
          </w:p>
        </w:tc>
        <w:tc>
          <w:tcPr>
            <w:tcW w:w="1120" w:type="dxa"/>
            <w:tcBorders>
              <w:top w:val="nil"/>
              <w:left w:val="nil"/>
              <w:bottom w:val="single" w:sz="4" w:space="0" w:color="auto"/>
              <w:right w:val="single" w:sz="4" w:space="0" w:color="auto"/>
            </w:tcBorders>
            <w:shd w:val="clear" w:color="000000" w:fill="FFFFFF"/>
            <w:noWrap/>
            <w:vAlign w:val="bottom"/>
            <w:hideMark/>
          </w:tcPr>
          <w:p w14:paraId="63F0FF4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3377,10</w:t>
            </w:r>
          </w:p>
        </w:tc>
      </w:tr>
    </w:tbl>
    <w:p w14:paraId="56AF5D3B" w14:textId="77777777" w:rsidR="008312AA" w:rsidRPr="00620F58" w:rsidRDefault="008312AA">
      <w:pPr>
        <w:pStyle w:val="Pealkiri1"/>
        <w:ind w:left="0" w:firstLine="0"/>
        <w:rPr>
          <w:rFonts w:ascii="Times New Roman" w:hAnsi="Times New Roman" w:cs="Times New Roman"/>
          <w:sz w:val="22"/>
          <w:szCs w:val="22"/>
        </w:rPr>
      </w:pPr>
    </w:p>
    <w:tbl>
      <w:tblPr>
        <w:tblW w:w="12328" w:type="dxa"/>
        <w:tblCellMar>
          <w:left w:w="70" w:type="dxa"/>
          <w:right w:w="70" w:type="dxa"/>
        </w:tblCellMar>
        <w:tblLook w:val="04A0" w:firstRow="1" w:lastRow="0" w:firstColumn="1" w:lastColumn="0" w:noHBand="0" w:noVBand="1"/>
      </w:tblPr>
      <w:tblGrid>
        <w:gridCol w:w="560"/>
        <w:gridCol w:w="1845"/>
        <w:gridCol w:w="2410"/>
        <w:gridCol w:w="992"/>
        <w:gridCol w:w="1134"/>
        <w:gridCol w:w="1134"/>
        <w:gridCol w:w="1134"/>
        <w:gridCol w:w="992"/>
        <w:gridCol w:w="993"/>
        <w:gridCol w:w="1134"/>
      </w:tblGrid>
      <w:tr w:rsidR="002D4864" w:rsidRPr="00620F58" w14:paraId="6BE981B1" w14:textId="77777777" w:rsidTr="00B42464">
        <w:trPr>
          <w:trHeight w:val="300"/>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85FE97"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Jrk nr</w:t>
            </w:r>
          </w:p>
        </w:tc>
        <w:tc>
          <w:tcPr>
            <w:tcW w:w="1845" w:type="dxa"/>
            <w:tcBorders>
              <w:top w:val="single" w:sz="4" w:space="0" w:color="auto"/>
              <w:left w:val="nil"/>
              <w:bottom w:val="single" w:sz="4" w:space="0" w:color="auto"/>
              <w:right w:val="single" w:sz="4" w:space="0" w:color="auto"/>
            </w:tcBorders>
            <w:shd w:val="clear" w:color="000000" w:fill="FFFFFF"/>
            <w:noWrap/>
            <w:vAlign w:val="bottom"/>
            <w:hideMark/>
          </w:tcPr>
          <w:p w14:paraId="2A84BD66"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Vald</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4162C407"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Lossimiskoht</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05070F72"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2016</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7AE84627"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2017</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3BD839C8"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2018</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712D91FC"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2019</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14:paraId="7C4652B3"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2020</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14:paraId="30DF9B6F"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2021</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0D5AB54A"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2022</w:t>
            </w:r>
          </w:p>
        </w:tc>
      </w:tr>
      <w:tr w:rsidR="00B42464" w:rsidRPr="002D4864" w14:paraId="46508A1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8214AC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w:t>
            </w:r>
          </w:p>
        </w:tc>
        <w:tc>
          <w:tcPr>
            <w:tcW w:w="1845" w:type="dxa"/>
            <w:tcBorders>
              <w:top w:val="nil"/>
              <w:left w:val="nil"/>
              <w:bottom w:val="single" w:sz="4" w:space="0" w:color="auto"/>
              <w:right w:val="single" w:sz="4" w:space="0" w:color="auto"/>
            </w:tcBorders>
            <w:shd w:val="clear" w:color="000000" w:fill="FFFFFF"/>
            <w:noWrap/>
            <w:vAlign w:val="bottom"/>
            <w:hideMark/>
          </w:tcPr>
          <w:p w14:paraId="303E884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Ruhnu vald</w:t>
            </w:r>
          </w:p>
        </w:tc>
        <w:tc>
          <w:tcPr>
            <w:tcW w:w="2410" w:type="dxa"/>
            <w:tcBorders>
              <w:top w:val="nil"/>
              <w:left w:val="nil"/>
              <w:bottom w:val="single" w:sz="4" w:space="0" w:color="auto"/>
              <w:right w:val="single" w:sz="4" w:space="0" w:color="auto"/>
            </w:tcBorders>
            <w:shd w:val="clear" w:color="E2F0D9" w:fill="FFFFFF"/>
            <w:noWrap/>
            <w:vAlign w:val="bottom"/>
            <w:hideMark/>
          </w:tcPr>
          <w:p w14:paraId="69FF4A2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Ringsu</w:t>
            </w:r>
            <w:proofErr w:type="spellEnd"/>
            <w:r w:rsidRPr="002D4864">
              <w:rPr>
                <w:rFonts w:ascii="Times New Roman" w:eastAsia="Times New Roman" w:hAnsi="Times New Roman" w:cs="Times New Roman"/>
                <w:color w:val="000000"/>
                <w:sz w:val="22"/>
                <w:szCs w:val="22"/>
              </w:rPr>
              <w:t xml:space="preserve"> sadam</w:t>
            </w:r>
          </w:p>
        </w:tc>
        <w:tc>
          <w:tcPr>
            <w:tcW w:w="992" w:type="dxa"/>
            <w:tcBorders>
              <w:top w:val="nil"/>
              <w:left w:val="nil"/>
              <w:bottom w:val="single" w:sz="4" w:space="0" w:color="auto"/>
              <w:right w:val="single" w:sz="4" w:space="0" w:color="auto"/>
            </w:tcBorders>
            <w:shd w:val="clear" w:color="000000" w:fill="FFFFFF"/>
            <w:noWrap/>
            <w:vAlign w:val="bottom"/>
            <w:hideMark/>
          </w:tcPr>
          <w:p w14:paraId="01CDDBF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95,00</w:t>
            </w:r>
          </w:p>
        </w:tc>
        <w:tc>
          <w:tcPr>
            <w:tcW w:w="1134" w:type="dxa"/>
            <w:tcBorders>
              <w:top w:val="nil"/>
              <w:left w:val="nil"/>
              <w:bottom w:val="single" w:sz="4" w:space="0" w:color="auto"/>
              <w:right w:val="single" w:sz="4" w:space="0" w:color="auto"/>
            </w:tcBorders>
            <w:shd w:val="clear" w:color="000000" w:fill="FFFFFF"/>
            <w:noWrap/>
            <w:vAlign w:val="bottom"/>
            <w:hideMark/>
          </w:tcPr>
          <w:p w14:paraId="517C8C5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336,50</w:t>
            </w:r>
          </w:p>
        </w:tc>
        <w:tc>
          <w:tcPr>
            <w:tcW w:w="1134" w:type="dxa"/>
            <w:tcBorders>
              <w:top w:val="nil"/>
              <w:left w:val="nil"/>
              <w:bottom w:val="single" w:sz="4" w:space="0" w:color="auto"/>
              <w:right w:val="single" w:sz="4" w:space="0" w:color="auto"/>
            </w:tcBorders>
            <w:shd w:val="clear" w:color="000000" w:fill="FFFFFF"/>
            <w:noWrap/>
            <w:vAlign w:val="bottom"/>
            <w:hideMark/>
          </w:tcPr>
          <w:p w14:paraId="3220B7E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624,00</w:t>
            </w:r>
          </w:p>
        </w:tc>
        <w:tc>
          <w:tcPr>
            <w:tcW w:w="1134" w:type="dxa"/>
            <w:tcBorders>
              <w:top w:val="nil"/>
              <w:left w:val="nil"/>
              <w:bottom w:val="single" w:sz="4" w:space="0" w:color="auto"/>
              <w:right w:val="single" w:sz="4" w:space="0" w:color="auto"/>
            </w:tcBorders>
            <w:shd w:val="clear" w:color="000000" w:fill="FFFFFF"/>
            <w:noWrap/>
            <w:vAlign w:val="bottom"/>
            <w:hideMark/>
          </w:tcPr>
          <w:p w14:paraId="2C3B0E2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258,00</w:t>
            </w:r>
          </w:p>
        </w:tc>
        <w:tc>
          <w:tcPr>
            <w:tcW w:w="992" w:type="dxa"/>
            <w:tcBorders>
              <w:top w:val="nil"/>
              <w:left w:val="nil"/>
              <w:bottom w:val="single" w:sz="4" w:space="0" w:color="auto"/>
              <w:right w:val="single" w:sz="4" w:space="0" w:color="auto"/>
            </w:tcBorders>
            <w:shd w:val="clear" w:color="000000" w:fill="FFFFFF"/>
            <w:noWrap/>
            <w:vAlign w:val="bottom"/>
            <w:hideMark/>
          </w:tcPr>
          <w:p w14:paraId="709AB8B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440,00</w:t>
            </w:r>
          </w:p>
        </w:tc>
        <w:tc>
          <w:tcPr>
            <w:tcW w:w="993" w:type="dxa"/>
            <w:tcBorders>
              <w:top w:val="nil"/>
              <w:left w:val="nil"/>
              <w:bottom w:val="single" w:sz="4" w:space="0" w:color="auto"/>
              <w:right w:val="single" w:sz="4" w:space="0" w:color="auto"/>
            </w:tcBorders>
            <w:shd w:val="clear" w:color="000000" w:fill="FFFFFF"/>
            <w:noWrap/>
            <w:vAlign w:val="bottom"/>
            <w:hideMark/>
          </w:tcPr>
          <w:p w14:paraId="7AAD60C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262,50</w:t>
            </w:r>
          </w:p>
        </w:tc>
        <w:tc>
          <w:tcPr>
            <w:tcW w:w="1134" w:type="dxa"/>
            <w:tcBorders>
              <w:top w:val="nil"/>
              <w:left w:val="nil"/>
              <w:bottom w:val="single" w:sz="4" w:space="0" w:color="auto"/>
              <w:right w:val="single" w:sz="4" w:space="0" w:color="auto"/>
            </w:tcBorders>
            <w:shd w:val="clear" w:color="000000" w:fill="FFFFFF"/>
            <w:noWrap/>
            <w:vAlign w:val="bottom"/>
            <w:hideMark/>
          </w:tcPr>
          <w:p w14:paraId="6866AEE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170,00</w:t>
            </w:r>
          </w:p>
        </w:tc>
      </w:tr>
      <w:tr w:rsidR="00B42464" w:rsidRPr="002D4864" w14:paraId="2384608E"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1ACE7AB6"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w:t>
            </w:r>
          </w:p>
        </w:tc>
        <w:tc>
          <w:tcPr>
            <w:tcW w:w="1845" w:type="dxa"/>
            <w:tcBorders>
              <w:top w:val="nil"/>
              <w:left w:val="nil"/>
              <w:bottom w:val="single" w:sz="4" w:space="0" w:color="auto"/>
              <w:right w:val="single" w:sz="4" w:space="0" w:color="auto"/>
            </w:tcBorders>
            <w:shd w:val="clear" w:color="F8CBAD" w:fill="FFFFFF"/>
            <w:noWrap/>
            <w:vAlign w:val="bottom"/>
            <w:hideMark/>
          </w:tcPr>
          <w:p w14:paraId="7E46503C"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Ruhnu vald</w:t>
            </w:r>
          </w:p>
        </w:tc>
        <w:tc>
          <w:tcPr>
            <w:tcW w:w="2410" w:type="dxa"/>
            <w:tcBorders>
              <w:top w:val="nil"/>
              <w:left w:val="nil"/>
              <w:bottom w:val="single" w:sz="4" w:space="0" w:color="auto"/>
              <w:right w:val="single" w:sz="4" w:space="0" w:color="auto"/>
            </w:tcBorders>
            <w:shd w:val="clear" w:color="F8CBAD" w:fill="FFFFFF"/>
            <w:noWrap/>
            <w:vAlign w:val="bottom"/>
            <w:hideMark/>
          </w:tcPr>
          <w:p w14:paraId="6A810FDF"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 xml:space="preserve">Ruhnu </w:t>
            </w:r>
            <w:proofErr w:type="spellStart"/>
            <w:r w:rsidRPr="002D4864">
              <w:rPr>
                <w:rFonts w:ascii="Times New Roman" w:eastAsia="Times New Roman" w:hAnsi="Times New Roman" w:cs="Times New Roman"/>
                <w:sz w:val="22"/>
                <w:szCs w:val="22"/>
              </w:rPr>
              <w:t>Kuunsi</w:t>
            </w:r>
            <w:proofErr w:type="spellEnd"/>
            <w:r w:rsidRPr="002D4864">
              <w:rPr>
                <w:rFonts w:ascii="Times New Roman" w:eastAsia="Times New Roman" w:hAnsi="Times New Roman" w:cs="Times New Roman"/>
                <w:sz w:val="22"/>
                <w:szCs w:val="22"/>
              </w:rPr>
              <w:t xml:space="preserve"> lauter</w:t>
            </w:r>
          </w:p>
        </w:tc>
        <w:tc>
          <w:tcPr>
            <w:tcW w:w="992" w:type="dxa"/>
            <w:tcBorders>
              <w:top w:val="nil"/>
              <w:left w:val="nil"/>
              <w:bottom w:val="single" w:sz="4" w:space="0" w:color="auto"/>
              <w:right w:val="single" w:sz="4" w:space="0" w:color="auto"/>
            </w:tcBorders>
            <w:shd w:val="clear" w:color="F8CBAD" w:fill="FFFFFF"/>
            <w:noWrap/>
            <w:vAlign w:val="bottom"/>
            <w:hideMark/>
          </w:tcPr>
          <w:p w14:paraId="744AC470"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25,00</w:t>
            </w:r>
          </w:p>
        </w:tc>
        <w:tc>
          <w:tcPr>
            <w:tcW w:w="1134" w:type="dxa"/>
            <w:tcBorders>
              <w:top w:val="nil"/>
              <w:left w:val="nil"/>
              <w:bottom w:val="single" w:sz="4" w:space="0" w:color="auto"/>
              <w:right w:val="single" w:sz="4" w:space="0" w:color="auto"/>
            </w:tcBorders>
            <w:shd w:val="clear" w:color="F8CBAD" w:fill="FFFFFF"/>
            <w:noWrap/>
            <w:vAlign w:val="bottom"/>
            <w:hideMark/>
          </w:tcPr>
          <w:p w14:paraId="735EE223"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22,00</w:t>
            </w:r>
          </w:p>
        </w:tc>
        <w:tc>
          <w:tcPr>
            <w:tcW w:w="1134" w:type="dxa"/>
            <w:tcBorders>
              <w:top w:val="nil"/>
              <w:left w:val="nil"/>
              <w:bottom w:val="single" w:sz="4" w:space="0" w:color="auto"/>
              <w:right w:val="single" w:sz="4" w:space="0" w:color="auto"/>
            </w:tcBorders>
            <w:shd w:val="clear" w:color="F8CBAD" w:fill="FFFFFF"/>
            <w:noWrap/>
            <w:vAlign w:val="bottom"/>
            <w:hideMark/>
          </w:tcPr>
          <w:p w14:paraId="1A1656D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34" w:type="dxa"/>
            <w:tcBorders>
              <w:top w:val="nil"/>
              <w:left w:val="nil"/>
              <w:bottom w:val="single" w:sz="4" w:space="0" w:color="auto"/>
              <w:right w:val="single" w:sz="4" w:space="0" w:color="auto"/>
            </w:tcBorders>
            <w:shd w:val="clear" w:color="F8CBAD" w:fill="FFFFFF"/>
            <w:noWrap/>
            <w:vAlign w:val="bottom"/>
            <w:hideMark/>
          </w:tcPr>
          <w:p w14:paraId="660D84BD"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992" w:type="dxa"/>
            <w:tcBorders>
              <w:top w:val="nil"/>
              <w:left w:val="nil"/>
              <w:bottom w:val="single" w:sz="4" w:space="0" w:color="auto"/>
              <w:right w:val="single" w:sz="4" w:space="0" w:color="auto"/>
            </w:tcBorders>
            <w:shd w:val="clear" w:color="F8CBAD" w:fill="FFFFFF"/>
            <w:noWrap/>
            <w:vAlign w:val="bottom"/>
            <w:hideMark/>
          </w:tcPr>
          <w:p w14:paraId="2FAA275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94,00</w:t>
            </w:r>
          </w:p>
        </w:tc>
        <w:tc>
          <w:tcPr>
            <w:tcW w:w="993" w:type="dxa"/>
            <w:tcBorders>
              <w:top w:val="nil"/>
              <w:left w:val="nil"/>
              <w:bottom w:val="single" w:sz="4" w:space="0" w:color="auto"/>
              <w:right w:val="single" w:sz="4" w:space="0" w:color="auto"/>
            </w:tcBorders>
            <w:shd w:val="clear" w:color="F8CBAD" w:fill="FFFFFF"/>
            <w:noWrap/>
            <w:vAlign w:val="bottom"/>
            <w:hideMark/>
          </w:tcPr>
          <w:p w14:paraId="2DB33468"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34" w:type="dxa"/>
            <w:tcBorders>
              <w:top w:val="nil"/>
              <w:left w:val="nil"/>
              <w:bottom w:val="single" w:sz="4" w:space="0" w:color="auto"/>
              <w:right w:val="single" w:sz="4" w:space="0" w:color="auto"/>
            </w:tcBorders>
            <w:shd w:val="clear" w:color="F8CBAD" w:fill="FFFFFF"/>
            <w:noWrap/>
            <w:vAlign w:val="bottom"/>
            <w:hideMark/>
          </w:tcPr>
          <w:p w14:paraId="4EEE356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bl>
    <w:p w14:paraId="339125A4" w14:textId="77777777" w:rsidR="002D4864" w:rsidRPr="00620F58" w:rsidRDefault="002D4864">
      <w:pPr>
        <w:pStyle w:val="Pealkiri1"/>
        <w:ind w:left="0" w:firstLine="0"/>
        <w:rPr>
          <w:rFonts w:ascii="Times New Roman" w:hAnsi="Times New Roman" w:cs="Times New Roman"/>
          <w:sz w:val="22"/>
          <w:szCs w:val="22"/>
        </w:rPr>
      </w:pPr>
    </w:p>
    <w:tbl>
      <w:tblPr>
        <w:tblW w:w="12495" w:type="dxa"/>
        <w:tblCellMar>
          <w:left w:w="70" w:type="dxa"/>
          <w:right w:w="70" w:type="dxa"/>
        </w:tblCellMar>
        <w:tblLook w:val="04A0" w:firstRow="1" w:lastRow="0" w:firstColumn="1" w:lastColumn="0" w:noHBand="0" w:noVBand="1"/>
      </w:tblPr>
      <w:tblGrid>
        <w:gridCol w:w="560"/>
        <w:gridCol w:w="1845"/>
        <w:gridCol w:w="2410"/>
        <w:gridCol w:w="1075"/>
        <w:gridCol w:w="1120"/>
        <w:gridCol w:w="1140"/>
        <w:gridCol w:w="1120"/>
        <w:gridCol w:w="1075"/>
        <w:gridCol w:w="1219"/>
        <w:gridCol w:w="1075"/>
      </w:tblGrid>
      <w:tr w:rsidR="002D4864" w:rsidRPr="00620F58" w14:paraId="476CA463" w14:textId="77777777" w:rsidTr="00B42464">
        <w:trPr>
          <w:trHeight w:val="300"/>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0123E1"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Jrk nr</w:t>
            </w:r>
          </w:p>
        </w:tc>
        <w:tc>
          <w:tcPr>
            <w:tcW w:w="1845" w:type="dxa"/>
            <w:tcBorders>
              <w:top w:val="single" w:sz="4" w:space="0" w:color="auto"/>
              <w:left w:val="nil"/>
              <w:bottom w:val="single" w:sz="4" w:space="0" w:color="auto"/>
              <w:right w:val="single" w:sz="4" w:space="0" w:color="auto"/>
            </w:tcBorders>
            <w:shd w:val="clear" w:color="000000" w:fill="FFFFFF"/>
            <w:noWrap/>
            <w:vAlign w:val="bottom"/>
            <w:hideMark/>
          </w:tcPr>
          <w:p w14:paraId="70CA2E0D"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Vald</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17559539" w14:textId="77777777" w:rsidR="002D4864" w:rsidRPr="002D4864" w:rsidRDefault="002D4864" w:rsidP="002D4864">
            <w:pPr>
              <w:suppressAutoHyphens w:val="0"/>
              <w:spacing w:after="0"/>
              <w:jc w:val="lef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Saaremaa vald</w:t>
            </w:r>
          </w:p>
        </w:tc>
        <w:tc>
          <w:tcPr>
            <w:tcW w:w="1075" w:type="dxa"/>
            <w:tcBorders>
              <w:top w:val="single" w:sz="4" w:space="0" w:color="auto"/>
              <w:left w:val="nil"/>
              <w:bottom w:val="single" w:sz="4" w:space="0" w:color="auto"/>
              <w:right w:val="single" w:sz="4" w:space="0" w:color="auto"/>
            </w:tcBorders>
            <w:shd w:val="clear" w:color="000000" w:fill="FFFFFF"/>
            <w:noWrap/>
            <w:vAlign w:val="bottom"/>
            <w:hideMark/>
          </w:tcPr>
          <w:p w14:paraId="494A5FC8"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2016</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45495EB6"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2017</w:t>
            </w:r>
          </w:p>
        </w:tc>
        <w:tc>
          <w:tcPr>
            <w:tcW w:w="1140" w:type="dxa"/>
            <w:tcBorders>
              <w:top w:val="single" w:sz="4" w:space="0" w:color="auto"/>
              <w:left w:val="nil"/>
              <w:bottom w:val="single" w:sz="4" w:space="0" w:color="auto"/>
              <w:right w:val="single" w:sz="4" w:space="0" w:color="auto"/>
            </w:tcBorders>
            <w:shd w:val="clear" w:color="000000" w:fill="FFFFFF"/>
            <w:noWrap/>
            <w:vAlign w:val="bottom"/>
            <w:hideMark/>
          </w:tcPr>
          <w:p w14:paraId="2AC34AE7"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2018</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211D5124"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2019</w:t>
            </w:r>
          </w:p>
        </w:tc>
        <w:tc>
          <w:tcPr>
            <w:tcW w:w="931" w:type="dxa"/>
            <w:tcBorders>
              <w:top w:val="single" w:sz="4" w:space="0" w:color="auto"/>
              <w:left w:val="nil"/>
              <w:bottom w:val="single" w:sz="4" w:space="0" w:color="auto"/>
              <w:right w:val="single" w:sz="4" w:space="0" w:color="auto"/>
            </w:tcBorders>
            <w:shd w:val="clear" w:color="000000" w:fill="FFFFFF"/>
            <w:noWrap/>
            <w:vAlign w:val="bottom"/>
            <w:hideMark/>
          </w:tcPr>
          <w:p w14:paraId="7CBEA804"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2020</w:t>
            </w:r>
          </w:p>
        </w:tc>
        <w:tc>
          <w:tcPr>
            <w:tcW w:w="1219" w:type="dxa"/>
            <w:tcBorders>
              <w:top w:val="single" w:sz="4" w:space="0" w:color="auto"/>
              <w:left w:val="nil"/>
              <w:bottom w:val="single" w:sz="4" w:space="0" w:color="auto"/>
              <w:right w:val="single" w:sz="4" w:space="0" w:color="auto"/>
            </w:tcBorders>
            <w:shd w:val="clear" w:color="000000" w:fill="FFFFFF"/>
            <w:noWrap/>
            <w:vAlign w:val="bottom"/>
            <w:hideMark/>
          </w:tcPr>
          <w:p w14:paraId="3940AEC5"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2021</w:t>
            </w:r>
          </w:p>
        </w:tc>
        <w:tc>
          <w:tcPr>
            <w:tcW w:w="1075" w:type="dxa"/>
            <w:tcBorders>
              <w:top w:val="single" w:sz="4" w:space="0" w:color="auto"/>
              <w:left w:val="nil"/>
              <w:bottom w:val="single" w:sz="4" w:space="0" w:color="auto"/>
              <w:right w:val="single" w:sz="4" w:space="0" w:color="auto"/>
            </w:tcBorders>
            <w:shd w:val="clear" w:color="000000" w:fill="FFFFFF"/>
            <w:noWrap/>
            <w:vAlign w:val="bottom"/>
            <w:hideMark/>
          </w:tcPr>
          <w:p w14:paraId="017D853A" w14:textId="77777777" w:rsidR="002D4864" w:rsidRPr="002D4864" w:rsidRDefault="002D4864" w:rsidP="002D4864">
            <w:pPr>
              <w:suppressAutoHyphens w:val="0"/>
              <w:spacing w:after="0"/>
              <w:jc w:val="right"/>
              <w:rPr>
                <w:rFonts w:ascii="Times New Roman" w:eastAsia="Times New Roman" w:hAnsi="Times New Roman" w:cs="Times New Roman"/>
                <w:b/>
                <w:bCs/>
                <w:color w:val="000000"/>
                <w:sz w:val="22"/>
                <w:szCs w:val="22"/>
              </w:rPr>
            </w:pPr>
            <w:r w:rsidRPr="002D4864">
              <w:rPr>
                <w:rFonts w:ascii="Times New Roman" w:eastAsia="Times New Roman" w:hAnsi="Times New Roman" w:cs="Times New Roman"/>
                <w:b/>
                <w:bCs/>
                <w:color w:val="000000"/>
                <w:sz w:val="22"/>
                <w:szCs w:val="22"/>
              </w:rPr>
              <w:t>2022</w:t>
            </w:r>
          </w:p>
        </w:tc>
      </w:tr>
      <w:tr w:rsidR="002D4864" w:rsidRPr="00620F58" w14:paraId="7E74C32F"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DEB4B2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w:t>
            </w:r>
          </w:p>
        </w:tc>
        <w:tc>
          <w:tcPr>
            <w:tcW w:w="1845" w:type="dxa"/>
            <w:tcBorders>
              <w:top w:val="nil"/>
              <w:left w:val="nil"/>
              <w:bottom w:val="single" w:sz="4" w:space="0" w:color="auto"/>
              <w:right w:val="single" w:sz="4" w:space="0" w:color="auto"/>
            </w:tcBorders>
            <w:shd w:val="clear" w:color="000000" w:fill="FFFFFF"/>
            <w:noWrap/>
            <w:vAlign w:val="bottom"/>
            <w:hideMark/>
          </w:tcPr>
          <w:p w14:paraId="36AEC64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69FA351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Abaja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ED47BC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171,00</w:t>
            </w:r>
          </w:p>
        </w:tc>
        <w:tc>
          <w:tcPr>
            <w:tcW w:w="1120" w:type="dxa"/>
            <w:tcBorders>
              <w:top w:val="nil"/>
              <w:left w:val="nil"/>
              <w:bottom w:val="single" w:sz="4" w:space="0" w:color="auto"/>
              <w:right w:val="single" w:sz="4" w:space="0" w:color="auto"/>
            </w:tcBorders>
            <w:shd w:val="clear" w:color="000000" w:fill="FFFFFF"/>
            <w:noWrap/>
            <w:vAlign w:val="bottom"/>
            <w:hideMark/>
          </w:tcPr>
          <w:p w14:paraId="789CED0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18,00</w:t>
            </w:r>
          </w:p>
        </w:tc>
        <w:tc>
          <w:tcPr>
            <w:tcW w:w="1140" w:type="dxa"/>
            <w:tcBorders>
              <w:top w:val="nil"/>
              <w:left w:val="nil"/>
              <w:bottom w:val="single" w:sz="4" w:space="0" w:color="auto"/>
              <w:right w:val="single" w:sz="4" w:space="0" w:color="auto"/>
            </w:tcBorders>
            <w:shd w:val="clear" w:color="000000" w:fill="FFFFFF"/>
            <w:noWrap/>
            <w:vAlign w:val="bottom"/>
            <w:hideMark/>
          </w:tcPr>
          <w:p w14:paraId="373F570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15,00</w:t>
            </w:r>
          </w:p>
        </w:tc>
        <w:tc>
          <w:tcPr>
            <w:tcW w:w="1120" w:type="dxa"/>
            <w:tcBorders>
              <w:top w:val="nil"/>
              <w:left w:val="nil"/>
              <w:bottom w:val="single" w:sz="4" w:space="0" w:color="auto"/>
              <w:right w:val="single" w:sz="4" w:space="0" w:color="auto"/>
            </w:tcBorders>
            <w:shd w:val="clear" w:color="000000" w:fill="FFFFFF"/>
            <w:noWrap/>
            <w:vAlign w:val="bottom"/>
            <w:hideMark/>
          </w:tcPr>
          <w:p w14:paraId="13F9934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56,00</w:t>
            </w:r>
          </w:p>
        </w:tc>
        <w:tc>
          <w:tcPr>
            <w:tcW w:w="931" w:type="dxa"/>
            <w:tcBorders>
              <w:top w:val="nil"/>
              <w:left w:val="nil"/>
              <w:bottom w:val="single" w:sz="4" w:space="0" w:color="auto"/>
              <w:right w:val="single" w:sz="4" w:space="0" w:color="auto"/>
            </w:tcBorders>
            <w:shd w:val="clear" w:color="000000" w:fill="FFFFFF"/>
            <w:noWrap/>
            <w:vAlign w:val="bottom"/>
            <w:hideMark/>
          </w:tcPr>
          <w:p w14:paraId="6893394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436,00</w:t>
            </w:r>
          </w:p>
        </w:tc>
        <w:tc>
          <w:tcPr>
            <w:tcW w:w="1219" w:type="dxa"/>
            <w:tcBorders>
              <w:top w:val="nil"/>
              <w:left w:val="nil"/>
              <w:bottom w:val="single" w:sz="4" w:space="0" w:color="auto"/>
              <w:right w:val="single" w:sz="4" w:space="0" w:color="auto"/>
            </w:tcBorders>
            <w:shd w:val="clear" w:color="000000" w:fill="FFFFFF"/>
            <w:noWrap/>
            <w:vAlign w:val="bottom"/>
            <w:hideMark/>
          </w:tcPr>
          <w:p w14:paraId="7308F44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649,00</w:t>
            </w:r>
          </w:p>
        </w:tc>
        <w:tc>
          <w:tcPr>
            <w:tcW w:w="1075" w:type="dxa"/>
            <w:tcBorders>
              <w:top w:val="nil"/>
              <w:left w:val="nil"/>
              <w:bottom w:val="single" w:sz="4" w:space="0" w:color="auto"/>
              <w:right w:val="single" w:sz="4" w:space="0" w:color="auto"/>
            </w:tcBorders>
            <w:shd w:val="clear" w:color="000000" w:fill="FFFFFF"/>
            <w:noWrap/>
            <w:vAlign w:val="bottom"/>
            <w:hideMark/>
          </w:tcPr>
          <w:p w14:paraId="3990AE2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770,00</w:t>
            </w:r>
          </w:p>
        </w:tc>
      </w:tr>
      <w:tr w:rsidR="002D4864" w:rsidRPr="00620F58" w14:paraId="66FA9EB4"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6070DFC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w:t>
            </w:r>
          </w:p>
        </w:tc>
        <w:tc>
          <w:tcPr>
            <w:tcW w:w="1845" w:type="dxa"/>
            <w:tcBorders>
              <w:top w:val="nil"/>
              <w:left w:val="nil"/>
              <w:bottom w:val="single" w:sz="4" w:space="0" w:color="auto"/>
              <w:right w:val="single" w:sz="4" w:space="0" w:color="auto"/>
            </w:tcBorders>
            <w:shd w:val="clear" w:color="F8CBAD" w:fill="FFFFFF"/>
            <w:noWrap/>
            <w:vAlign w:val="bottom"/>
            <w:hideMark/>
          </w:tcPr>
          <w:p w14:paraId="6546B3E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646FBAF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Abaja Süllanina</w:t>
            </w:r>
          </w:p>
        </w:tc>
        <w:tc>
          <w:tcPr>
            <w:tcW w:w="1075" w:type="dxa"/>
            <w:tcBorders>
              <w:top w:val="nil"/>
              <w:left w:val="nil"/>
              <w:bottom w:val="single" w:sz="4" w:space="0" w:color="auto"/>
              <w:right w:val="single" w:sz="4" w:space="0" w:color="auto"/>
            </w:tcBorders>
            <w:shd w:val="clear" w:color="F8CBAD" w:fill="FFFFFF"/>
            <w:noWrap/>
            <w:vAlign w:val="bottom"/>
            <w:hideMark/>
          </w:tcPr>
          <w:p w14:paraId="2D649C1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7C478E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175EA39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134,00</w:t>
            </w:r>
          </w:p>
        </w:tc>
        <w:tc>
          <w:tcPr>
            <w:tcW w:w="1120" w:type="dxa"/>
            <w:tcBorders>
              <w:top w:val="nil"/>
              <w:left w:val="nil"/>
              <w:bottom w:val="single" w:sz="4" w:space="0" w:color="auto"/>
              <w:right w:val="single" w:sz="4" w:space="0" w:color="auto"/>
            </w:tcBorders>
            <w:shd w:val="clear" w:color="F8CBAD" w:fill="FFFFFF"/>
            <w:noWrap/>
            <w:vAlign w:val="bottom"/>
            <w:hideMark/>
          </w:tcPr>
          <w:p w14:paraId="24B591E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64AADC1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09C9B59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1A48694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w:t>
            </w:r>
          </w:p>
        </w:tc>
      </w:tr>
      <w:tr w:rsidR="002D4864" w:rsidRPr="00620F58" w14:paraId="576713CF"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7A7532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lastRenderedPageBreak/>
              <w:t>3</w:t>
            </w:r>
          </w:p>
        </w:tc>
        <w:tc>
          <w:tcPr>
            <w:tcW w:w="1845" w:type="dxa"/>
            <w:tcBorders>
              <w:top w:val="nil"/>
              <w:left w:val="nil"/>
              <w:bottom w:val="single" w:sz="4" w:space="0" w:color="auto"/>
              <w:right w:val="single" w:sz="4" w:space="0" w:color="auto"/>
            </w:tcBorders>
            <w:shd w:val="clear" w:color="000000" w:fill="FFFFFF"/>
            <w:noWrap/>
            <w:vAlign w:val="bottom"/>
            <w:hideMark/>
          </w:tcPr>
          <w:p w14:paraId="292DF15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291295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Abula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5ECD7E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392,00</w:t>
            </w:r>
          </w:p>
        </w:tc>
        <w:tc>
          <w:tcPr>
            <w:tcW w:w="1120" w:type="dxa"/>
            <w:tcBorders>
              <w:top w:val="nil"/>
              <w:left w:val="nil"/>
              <w:bottom w:val="single" w:sz="4" w:space="0" w:color="auto"/>
              <w:right w:val="single" w:sz="4" w:space="0" w:color="auto"/>
            </w:tcBorders>
            <w:shd w:val="clear" w:color="000000" w:fill="FFFFFF"/>
            <w:noWrap/>
            <w:vAlign w:val="bottom"/>
            <w:hideMark/>
          </w:tcPr>
          <w:p w14:paraId="1A23DA8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266,00</w:t>
            </w:r>
          </w:p>
        </w:tc>
        <w:tc>
          <w:tcPr>
            <w:tcW w:w="1140" w:type="dxa"/>
            <w:tcBorders>
              <w:top w:val="nil"/>
              <w:left w:val="nil"/>
              <w:bottom w:val="single" w:sz="4" w:space="0" w:color="auto"/>
              <w:right w:val="single" w:sz="4" w:space="0" w:color="auto"/>
            </w:tcBorders>
            <w:shd w:val="clear" w:color="000000" w:fill="FFFFFF"/>
            <w:noWrap/>
            <w:vAlign w:val="bottom"/>
            <w:hideMark/>
          </w:tcPr>
          <w:p w14:paraId="6C83B25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81,00</w:t>
            </w:r>
          </w:p>
        </w:tc>
        <w:tc>
          <w:tcPr>
            <w:tcW w:w="1120" w:type="dxa"/>
            <w:tcBorders>
              <w:top w:val="nil"/>
              <w:left w:val="nil"/>
              <w:bottom w:val="single" w:sz="4" w:space="0" w:color="auto"/>
              <w:right w:val="single" w:sz="4" w:space="0" w:color="auto"/>
            </w:tcBorders>
            <w:shd w:val="clear" w:color="000000" w:fill="FFFFFF"/>
            <w:noWrap/>
            <w:vAlign w:val="bottom"/>
            <w:hideMark/>
          </w:tcPr>
          <w:p w14:paraId="135D245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397,70</w:t>
            </w:r>
          </w:p>
        </w:tc>
        <w:tc>
          <w:tcPr>
            <w:tcW w:w="931" w:type="dxa"/>
            <w:tcBorders>
              <w:top w:val="nil"/>
              <w:left w:val="nil"/>
              <w:bottom w:val="single" w:sz="4" w:space="0" w:color="auto"/>
              <w:right w:val="single" w:sz="4" w:space="0" w:color="auto"/>
            </w:tcBorders>
            <w:shd w:val="clear" w:color="000000" w:fill="FFFFFF"/>
            <w:noWrap/>
            <w:vAlign w:val="bottom"/>
            <w:hideMark/>
          </w:tcPr>
          <w:p w14:paraId="7747358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420,00</w:t>
            </w:r>
          </w:p>
        </w:tc>
        <w:tc>
          <w:tcPr>
            <w:tcW w:w="1219" w:type="dxa"/>
            <w:tcBorders>
              <w:top w:val="nil"/>
              <w:left w:val="nil"/>
              <w:bottom w:val="single" w:sz="4" w:space="0" w:color="auto"/>
              <w:right w:val="single" w:sz="4" w:space="0" w:color="auto"/>
            </w:tcBorders>
            <w:shd w:val="clear" w:color="000000" w:fill="FFFFFF"/>
            <w:noWrap/>
            <w:vAlign w:val="bottom"/>
            <w:hideMark/>
          </w:tcPr>
          <w:p w14:paraId="01DD70C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556,30</w:t>
            </w:r>
          </w:p>
        </w:tc>
        <w:tc>
          <w:tcPr>
            <w:tcW w:w="1075" w:type="dxa"/>
            <w:tcBorders>
              <w:top w:val="nil"/>
              <w:left w:val="nil"/>
              <w:bottom w:val="single" w:sz="4" w:space="0" w:color="auto"/>
              <w:right w:val="single" w:sz="4" w:space="0" w:color="auto"/>
            </w:tcBorders>
            <w:shd w:val="clear" w:color="000000" w:fill="FFFFFF"/>
            <w:noWrap/>
            <w:vAlign w:val="bottom"/>
            <w:hideMark/>
          </w:tcPr>
          <w:p w14:paraId="273C827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586,20</w:t>
            </w:r>
          </w:p>
        </w:tc>
      </w:tr>
      <w:tr w:rsidR="002D4864" w:rsidRPr="00620F58" w14:paraId="6238C612"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286FDC9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w:t>
            </w:r>
          </w:p>
        </w:tc>
        <w:tc>
          <w:tcPr>
            <w:tcW w:w="1845" w:type="dxa"/>
            <w:tcBorders>
              <w:top w:val="nil"/>
              <w:left w:val="nil"/>
              <w:bottom w:val="single" w:sz="4" w:space="0" w:color="auto"/>
              <w:right w:val="single" w:sz="4" w:space="0" w:color="auto"/>
            </w:tcBorders>
            <w:shd w:val="clear" w:color="F8CBAD" w:fill="FFFFFF"/>
            <w:noWrap/>
            <w:vAlign w:val="bottom"/>
            <w:hideMark/>
          </w:tcPr>
          <w:p w14:paraId="666E7860"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370CEDD1"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Abruka sadam</w:t>
            </w:r>
          </w:p>
        </w:tc>
        <w:tc>
          <w:tcPr>
            <w:tcW w:w="1075" w:type="dxa"/>
            <w:tcBorders>
              <w:top w:val="nil"/>
              <w:left w:val="nil"/>
              <w:bottom w:val="single" w:sz="4" w:space="0" w:color="auto"/>
              <w:right w:val="single" w:sz="4" w:space="0" w:color="auto"/>
            </w:tcBorders>
            <w:shd w:val="clear" w:color="F8CBAD" w:fill="FFFFFF"/>
            <w:noWrap/>
            <w:vAlign w:val="bottom"/>
            <w:hideMark/>
          </w:tcPr>
          <w:p w14:paraId="060C36D5"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211,50</w:t>
            </w:r>
          </w:p>
        </w:tc>
        <w:tc>
          <w:tcPr>
            <w:tcW w:w="1120" w:type="dxa"/>
            <w:tcBorders>
              <w:top w:val="nil"/>
              <w:left w:val="nil"/>
              <w:bottom w:val="single" w:sz="4" w:space="0" w:color="auto"/>
              <w:right w:val="single" w:sz="4" w:space="0" w:color="auto"/>
            </w:tcBorders>
            <w:shd w:val="clear" w:color="F8CBAD" w:fill="FFFFFF"/>
            <w:noWrap/>
            <w:vAlign w:val="bottom"/>
            <w:hideMark/>
          </w:tcPr>
          <w:p w14:paraId="1DA03CEF"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274E4F1A"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15,00</w:t>
            </w:r>
          </w:p>
        </w:tc>
        <w:tc>
          <w:tcPr>
            <w:tcW w:w="1120" w:type="dxa"/>
            <w:tcBorders>
              <w:top w:val="nil"/>
              <w:left w:val="nil"/>
              <w:bottom w:val="single" w:sz="4" w:space="0" w:color="auto"/>
              <w:right w:val="single" w:sz="4" w:space="0" w:color="auto"/>
            </w:tcBorders>
            <w:shd w:val="clear" w:color="F8CBAD" w:fill="FFFFFF"/>
            <w:noWrap/>
            <w:vAlign w:val="bottom"/>
            <w:hideMark/>
          </w:tcPr>
          <w:p w14:paraId="023D6DB8"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25,00</w:t>
            </w:r>
          </w:p>
        </w:tc>
        <w:tc>
          <w:tcPr>
            <w:tcW w:w="931" w:type="dxa"/>
            <w:tcBorders>
              <w:top w:val="nil"/>
              <w:left w:val="nil"/>
              <w:bottom w:val="single" w:sz="4" w:space="0" w:color="auto"/>
              <w:right w:val="single" w:sz="4" w:space="0" w:color="auto"/>
            </w:tcBorders>
            <w:shd w:val="clear" w:color="F8CBAD" w:fill="FFFFFF"/>
            <w:noWrap/>
            <w:vAlign w:val="bottom"/>
            <w:hideMark/>
          </w:tcPr>
          <w:p w14:paraId="09A6D415"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25,00</w:t>
            </w:r>
          </w:p>
        </w:tc>
        <w:tc>
          <w:tcPr>
            <w:tcW w:w="1219" w:type="dxa"/>
            <w:tcBorders>
              <w:top w:val="nil"/>
              <w:left w:val="nil"/>
              <w:bottom w:val="single" w:sz="4" w:space="0" w:color="auto"/>
              <w:right w:val="single" w:sz="4" w:space="0" w:color="auto"/>
            </w:tcBorders>
            <w:shd w:val="clear" w:color="F8CBAD" w:fill="FFFFFF"/>
            <w:noWrap/>
            <w:vAlign w:val="bottom"/>
            <w:hideMark/>
          </w:tcPr>
          <w:p w14:paraId="6022F1D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37A579A7"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624B45C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713888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w:t>
            </w:r>
          </w:p>
        </w:tc>
        <w:tc>
          <w:tcPr>
            <w:tcW w:w="1845" w:type="dxa"/>
            <w:tcBorders>
              <w:top w:val="nil"/>
              <w:left w:val="nil"/>
              <w:bottom w:val="single" w:sz="4" w:space="0" w:color="auto"/>
              <w:right w:val="single" w:sz="4" w:space="0" w:color="auto"/>
            </w:tcBorders>
            <w:shd w:val="clear" w:color="000000" w:fill="FFFFFF"/>
            <w:noWrap/>
            <w:vAlign w:val="bottom"/>
            <w:hideMark/>
          </w:tcPr>
          <w:p w14:paraId="0369F47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2D46D5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Anseküla</w:t>
            </w:r>
          </w:p>
        </w:tc>
        <w:tc>
          <w:tcPr>
            <w:tcW w:w="1075" w:type="dxa"/>
            <w:tcBorders>
              <w:top w:val="nil"/>
              <w:left w:val="nil"/>
              <w:bottom w:val="single" w:sz="4" w:space="0" w:color="auto"/>
              <w:right w:val="single" w:sz="4" w:space="0" w:color="auto"/>
            </w:tcBorders>
            <w:shd w:val="clear" w:color="000000" w:fill="FFFFFF"/>
            <w:noWrap/>
            <w:vAlign w:val="bottom"/>
            <w:hideMark/>
          </w:tcPr>
          <w:p w14:paraId="7A749DD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955,00</w:t>
            </w:r>
          </w:p>
        </w:tc>
        <w:tc>
          <w:tcPr>
            <w:tcW w:w="1120" w:type="dxa"/>
            <w:tcBorders>
              <w:top w:val="nil"/>
              <w:left w:val="nil"/>
              <w:bottom w:val="single" w:sz="4" w:space="0" w:color="auto"/>
              <w:right w:val="single" w:sz="4" w:space="0" w:color="auto"/>
            </w:tcBorders>
            <w:shd w:val="clear" w:color="000000" w:fill="FFFFFF"/>
            <w:noWrap/>
            <w:vAlign w:val="bottom"/>
            <w:hideMark/>
          </w:tcPr>
          <w:p w14:paraId="66D73FA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148,50</w:t>
            </w:r>
          </w:p>
        </w:tc>
        <w:tc>
          <w:tcPr>
            <w:tcW w:w="1140" w:type="dxa"/>
            <w:tcBorders>
              <w:top w:val="nil"/>
              <w:left w:val="nil"/>
              <w:bottom w:val="single" w:sz="4" w:space="0" w:color="auto"/>
              <w:right w:val="single" w:sz="4" w:space="0" w:color="auto"/>
            </w:tcBorders>
            <w:shd w:val="clear" w:color="000000" w:fill="FFFFFF"/>
            <w:noWrap/>
            <w:vAlign w:val="bottom"/>
            <w:hideMark/>
          </w:tcPr>
          <w:p w14:paraId="6AB0E21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7,00</w:t>
            </w:r>
          </w:p>
        </w:tc>
        <w:tc>
          <w:tcPr>
            <w:tcW w:w="1120" w:type="dxa"/>
            <w:tcBorders>
              <w:top w:val="nil"/>
              <w:left w:val="nil"/>
              <w:bottom w:val="single" w:sz="4" w:space="0" w:color="auto"/>
              <w:right w:val="single" w:sz="4" w:space="0" w:color="auto"/>
            </w:tcBorders>
            <w:shd w:val="clear" w:color="000000" w:fill="FFFFFF"/>
            <w:noWrap/>
            <w:vAlign w:val="bottom"/>
            <w:hideMark/>
          </w:tcPr>
          <w:p w14:paraId="1EDFA8E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82,50</w:t>
            </w:r>
          </w:p>
        </w:tc>
        <w:tc>
          <w:tcPr>
            <w:tcW w:w="931" w:type="dxa"/>
            <w:tcBorders>
              <w:top w:val="nil"/>
              <w:left w:val="nil"/>
              <w:bottom w:val="single" w:sz="4" w:space="0" w:color="auto"/>
              <w:right w:val="single" w:sz="4" w:space="0" w:color="auto"/>
            </w:tcBorders>
            <w:shd w:val="clear" w:color="000000" w:fill="FFFFFF"/>
            <w:noWrap/>
            <w:vAlign w:val="bottom"/>
            <w:hideMark/>
          </w:tcPr>
          <w:p w14:paraId="055FD0D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194,00</w:t>
            </w:r>
          </w:p>
        </w:tc>
        <w:tc>
          <w:tcPr>
            <w:tcW w:w="1219" w:type="dxa"/>
            <w:tcBorders>
              <w:top w:val="nil"/>
              <w:left w:val="nil"/>
              <w:bottom w:val="single" w:sz="4" w:space="0" w:color="auto"/>
              <w:right w:val="single" w:sz="4" w:space="0" w:color="auto"/>
            </w:tcBorders>
            <w:shd w:val="clear" w:color="000000" w:fill="FFFFFF"/>
            <w:noWrap/>
            <w:vAlign w:val="bottom"/>
            <w:hideMark/>
          </w:tcPr>
          <w:p w14:paraId="47DB3B3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155,90</w:t>
            </w:r>
          </w:p>
        </w:tc>
        <w:tc>
          <w:tcPr>
            <w:tcW w:w="1075" w:type="dxa"/>
            <w:tcBorders>
              <w:top w:val="nil"/>
              <w:left w:val="nil"/>
              <w:bottom w:val="single" w:sz="4" w:space="0" w:color="auto"/>
              <w:right w:val="single" w:sz="4" w:space="0" w:color="auto"/>
            </w:tcBorders>
            <w:shd w:val="clear" w:color="000000" w:fill="FFFFFF"/>
            <w:noWrap/>
            <w:vAlign w:val="bottom"/>
            <w:hideMark/>
          </w:tcPr>
          <w:p w14:paraId="407BA3E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2588,50</w:t>
            </w:r>
          </w:p>
        </w:tc>
      </w:tr>
      <w:tr w:rsidR="002D4864" w:rsidRPr="00620F58" w14:paraId="6C5AD91C"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CC0EF5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w:t>
            </w:r>
          </w:p>
        </w:tc>
        <w:tc>
          <w:tcPr>
            <w:tcW w:w="1845" w:type="dxa"/>
            <w:tcBorders>
              <w:top w:val="nil"/>
              <w:left w:val="nil"/>
              <w:bottom w:val="single" w:sz="4" w:space="0" w:color="auto"/>
              <w:right w:val="single" w:sz="4" w:space="0" w:color="auto"/>
            </w:tcBorders>
            <w:shd w:val="clear" w:color="000000" w:fill="FFFFFF"/>
            <w:noWrap/>
            <w:vAlign w:val="bottom"/>
            <w:hideMark/>
          </w:tcPr>
          <w:p w14:paraId="10AA7C6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772494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Asuka</w:t>
            </w:r>
          </w:p>
        </w:tc>
        <w:tc>
          <w:tcPr>
            <w:tcW w:w="1075" w:type="dxa"/>
            <w:tcBorders>
              <w:top w:val="nil"/>
              <w:left w:val="nil"/>
              <w:bottom w:val="single" w:sz="4" w:space="0" w:color="auto"/>
              <w:right w:val="single" w:sz="4" w:space="0" w:color="auto"/>
            </w:tcBorders>
            <w:shd w:val="clear" w:color="000000" w:fill="FFFFFF"/>
            <w:noWrap/>
            <w:vAlign w:val="bottom"/>
            <w:hideMark/>
          </w:tcPr>
          <w:p w14:paraId="767365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31,00</w:t>
            </w:r>
          </w:p>
        </w:tc>
        <w:tc>
          <w:tcPr>
            <w:tcW w:w="1120" w:type="dxa"/>
            <w:tcBorders>
              <w:top w:val="nil"/>
              <w:left w:val="nil"/>
              <w:bottom w:val="single" w:sz="4" w:space="0" w:color="auto"/>
              <w:right w:val="single" w:sz="4" w:space="0" w:color="auto"/>
            </w:tcBorders>
            <w:shd w:val="clear" w:color="000000" w:fill="FFFFFF"/>
            <w:noWrap/>
            <w:vAlign w:val="bottom"/>
            <w:hideMark/>
          </w:tcPr>
          <w:p w14:paraId="43FB0ED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72,00</w:t>
            </w:r>
          </w:p>
        </w:tc>
        <w:tc>
          <w:tcPr>
            <w:tcW w:w="1140" w:type="dxa"/>
            <w:tcBorders>
              <w:top w:val="nil"/>
              <w:left w:val="nil"/>
              <w:bottom w:val="single" w:sz="4" w:space="0" w:color="auto"/>
              <w:right w:val="single" w:sz="4" w:space="0" w:color="auto"/>
            </w:tcBorders>
            <w:shd w:val="clear" w:color="000000" w:fill="FFFFFF"/>
            <w:noWrap/>
            <w:vAlign w:val="bottom"/>
            <w:hideMark/>
          </w:tcPr>
          <w:p w14:paraId="1174E09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235,00</w:t>
            </w:r>
          </w:p>
        </w:tc>
        <w:tc>
          <w:tcPr>
            <w:tcW w:w="1120" w:type="dxa"/>
            <w:tcBorders>
              <w:top w:val="nil"/>
              <w:left w:val="nil"/>
              <w:bottom w:val="single" w:sz="4" w:space="0" w:color="auto"/>
              <w:right w:val="single" w:sz="4" w:space="0" w:color="auto"/>
            </w:tcBorders>
            <w:shd w:val="clear" w:color="000000" w:fill="FFFFFF"/>
            <w:noWrap/>
            <w:vAlign w:val="bottom"/>
            <w:hideMark/>
          </w:tcPr>
          <w:p w14:paraId="4BD9BBB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470,50</w:t>
            </w:r>
          </w:p>
        </w:tc>
        <w:tc>
          <w:tcPr>
            <w:tcW w:w="931" w:type="dxa"/>
            <w:tcBorders>
              <w:top w:val="nil"/>
              <w:left w:val="nil"/>
              <w:bottom w:val="single" w:sz="4" w:space="0" w:color="auto"/>
              <w:right w:val="single" w:sz="4" w:space="0" w:color="auto"/>
            </w:tcBorders>
            <w:shd w:val="clear" w:color="000000" w:fill="FFFFFF"/>
            <w:noWrap/>
            <w:vAlign w:val="bottom"/>
            <w:hideMark/>
          </w:tcPr>
          <w:p w14:paraId="7B02CBF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867,00</w:t>
            </w:r>
          </w:p>
        </w:tc>
        <w:tc>
          <w:tcPr>
            <w:tcW w:w="1219" w:type="dxa"/>
            <w:tcBorders>
              <w:top w:val="nil"/>
              <w:left w:val="nil"/>
              <w:bottom w:val="single" w:sz="4" w:space="0" w:color="auto"/>
              <w:right w:val="single" w:sz="4" w:space="0" w:color="auto"/>
            </w:tcBorders>
            <w:shd w:val="clear" w:color="000000" w:fill="FFFFFF"/>
            <w:noWrap/>
            <w:vAlign w:val="bottom"/>
            <w:hideMark/>
          </w:tcPr>
          <w:p w14:paraId="3557D24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351,80</w:t>
            </w:r>
          </w:p>
        </w:tc>
        <w:tc>
          <w:tcPr>
            <w:tcW w:w="1075" w:type="dxa"/>
            <w:tcBorders>
              <w:top w:val="nil"/>
              <w:left w:val="nil"/>
              <w:bottom w:val="single" w:sz="4" w:space="0" w:color="auto"/>
              <w:right w:val="single" w:sz="4" w:space="0" w:color="auto"/>
            </w:tcBorders>
            <w:shd w:val="clear" w:color="000000" w:fill="FFFFFF"/>
            <w:noWrap/>
            <w:vAlign w:val="bottom"/>
            <w:hideMark/>
          </w:tcPr>
          <w:p w14:paraId="052B61F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77,70</w:t>
            </w:r>
          </w:p>
        </w:tc>
      </w:tr>
      <w:tr w:rsidR="002D4864" w:rsidRPr="00620F58" w14:paraId="1583988B"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447FBD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w:t>
            </w:r>
          </w:p>
        </w:tc>
        <w:tc>
          <w:tcPr>
            <w:tcW w:w="1845" w:type="dxa"/>
            <w:tcBorders>
              <w:top w:val="nil"/>
              <w:left w:val="nil"/>
              <w:bottom w:val="single" w:sz="4" w:space="0" w:color="auto"/>
              <w:right w:val="single" w:sz="4" w:space="0" w:color="auto"/>
            </w:tcBorders>
            <w:shd w:val="clear" w:color="000000" w:fill="FFFFFF"/>
            <w:noWrap/>
            <w:vAlign w:val="bottom"/>
            <w:hideMark/>
          </w:tcPr>
          <w:p w14:paraId="0895138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5A1B640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Atla</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67D96B0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4402,50</w:t>
            </w:r>
          </w:p>
        </w:tc>
        <w:tc>
          <w:tcPr>
            <w:tcW w:w="1120" w:type="dxa"/>
            <w:tcBorders>
              <w:top w:val="nil"/>
              <w:left w:val="nil"/>
              <w:bottom w:val="single" w:sz="4" w:space="0" w:color="auto"/>
              <w:right w:val="single" w:sz="4" w:space="0" w:color="auto"/>
            </w:tcBorders>
            <w:shd w:val="clear" w:color="000000" w:fill="FFFFFF"/>
            <w:noWrap/>
            <w:vAlign w:val="bottom"/>
            <w:hideMark/>
          </w:tcPr>
          <w:p w14:paraId="1AEB1F5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4741,50</w:t>
            </w:r>
          </w:p>
        </w:tc>
        <w:tc>
          <w:tcPr>
            <w:tcW w:w="1140" w:type="dxa"/>
            <w:tcBorders>
              <w:top w:val="nil"/>
              <w:left w:val="nil"/>
              <w:bottom w:val="single" w:sz="4" w:space="0" w:color="auto"/>
              <w:right w:val="single" w:sz="4" w:space="0" w:color="auto"/>
            </w:tcBorders>
            <w:shd w:val="clear" w:color="000000" w:fill="FFFFFF"/>
            <w:noWrap/>
            <w:vAlign w:val="bottom"/>
            <w:hideMark/>
          </w:tcPr>
          <w:p w14:paraId="491E30D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4121,50</w:t>
            </w:r>
          </w:p>
        </w:tc>
        <w:tc>
          <w:tcPr>
            <w:tcW w:w="1120" w:type="dxa"/>
            <w:tcBorders>
              <w:top w:val="nil"/>
              <w:left w:val="nil"/>
              <w:bottom w:val="single" w:sz="4" w:space="0" w:color="auto"/>
              <w:right w:val="single" w:sz="4" w:space="0" w:color="auto"/>
            </w:tcBorders>
            <w:shd w:val="clear" w:color="000000" w:fill="FFFFFF"/>
            <w:noWrap/>
            <w:vAlign w:val="bottom"/>
            <w:hideMark/>
          </w:tcPr>
          <w:p w14:paraId="264543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3142,10</w:t>
            </w:r>
          </w:p>
        </w:tc>
        <w:tc>
          <w:tcPr>
            <w:tcW w:w="931" w:type="dxa"/>
            <w:tcBorders>
              <w:top w:val="nil"/>
              <w:left w:val="nil"/>
              <w:bottom w:val="single" w:sz="4" w:space="0" w:color="auto"/>
              <w:right w:val="single" w:sz="4" w:space="0" w:color="auto"/>
            </w:tcBorders>
            <w:shd w:val="clear" w:color="000000" w:fill="FFFFFF"/>
            <w:noWrap/>
            <w:vAlign w:val="bottom"/>
            <w:hideMark/>
          </w:tcPr>
          <w:p w14:paraId="4A2C652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6108,00</w:t>
            </w:r>
          </w:p>
        </w:tc>
        <w:tc>
          <w:tcPr>
            <w:tcW w:w="1219" w:type="dxa"/>
            <w:tcBorders>
              <w:top w:val="nil"/>
              <w:left w:val="nil"/>
              <w:bottom w:val="single" w:sz="4" w:space="0" w:color="auto"/>
              <w:right w:val="single" w:sz="4" w:space="0" w:color="auto"/>
            </w:tcBorders>
            <w:shd w:val="clear" w:color="000000" w:fill="FFFFFF"/>
            <w:noWrap/>
            <w:vAlign w:val="bottom"/>
            <w:hideMark/>
          </w:tcPr>
          <w:p w14:paraId="2432980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7562,70</w:t>
            </w:r>
          </w:p>
        </w:tc>
        <w:tc>
          <w:tcPr>
            <w:tcW w:w="1075" w:type="dxa"/>
            <w:tcBorders>
              <w:top w:val="nil"/>
              <w:left w:val="nil"/>
              <w:bottom w:val="single" w:sz="4" w:space="0" w:color="auto"/>
              <w:right w:val="single" w:sz="4" w:space="0" w:color="auto"/>
            </w:tcBorders>
            <w:shd w:val="clear" w:color="000000" w:fill="FFFFFF"/>
            <w:noWrap/>
            <w:vAlign w:val="bottom"/>
            <w:hideMark/>
          </w:tcPr>
          <w:p w14:paraId="43FE800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2009,00</w:t>
            </w:r>
          </w:p>
        </w:tc>
      </w:tr>
      <w:tr w:rsidR="002D4864" w:rsidRPr="00620F58" w14:paraId="62696161"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747FBED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w:t>
            </w:r>
          </w:p>
        </w:tc>
        <w:tc>
          <w:tcPr>
            <w:tcW w:w="1845" w:type="dxa"/>
            <w:tcBorders>
              <w:top w:val="nil"/>
              <w:left w:val="nil"/>
              <w:bottom w:val="single" w:sz="4" w:space="0" w:color="auto"/>
              <w:right w:val="single" w:sz="4" w:space="0" w:color="auto"/>
            </w:tcBorders>
            <w:shd w:val="clear" w:color="F8CBAD" w:fill="FFFFFF"/>
            <w:noWrap/>
            <w:vAlign w:val="bottom"/>
            <w:hideMark/>
          </w:tcPr>
          <w:p w14:paraId="63C9671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4083E81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Elda</w:t>
            </w:r>
            <w:proofErr w:type="spellEnd"/>
          </w:p>
        </w:tc>
        <w:tc>
          <w:tcPr>
            <w:tcW w:w="1075" w:type="dxa"/>
            <w:tcBorders>
              <w:top w:val="nil"/>
              <w:left w:val="nil"/>
              <w:bottom w:val="single" w:sz="4" w:space="0" w:color="auto"/>
              <w:right w:val="single" w:sz="4" w:space="0" w:color="auto"/>
            </w:tcBorders>
            <w:shd w:val="clear" w:color="F8CBAD" w:fill="FFFFFF"/>
            <w:noWrap/>
            <w:vAlign w:val="bottom"/>
            <w:hideMark/>
          </w:tcPr>
          <w:p w14:paraId="1F6BB04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157035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0227EF2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510DAC9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14A3F06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105,00</w:t>
            </w:r>
          </w:p>
        </w:tc>
        <w:tc>
          <w:tcPr>
            <w:tcW w:w="1219" w:type="dxa"/>
            <w:tcBorders>
              <w:top w:val="nil"/>
              <w:left w:val="nil"/>
              <w:bottom w:val="single" w:sz="4" w:space="0" w:color="auto"/>
              <w:right w:val="single" w:sz="4" w:space="0" w:color="auto"/>
            </w:tcBorders>
            <w:shd w:val="clear" w:color="F8CBAD" w:fill="FFFFFF"/>
            <w:noWrap/>
            <w:vAlign w:val="bottom"/>
            <w:hideMark/>
          </w:tcPr>
          <w:p w14:paraId="704A066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4,00</w:t>
            </w:r>
          </w:p>
        </w:tc>
        <w:tc>
          <w:tcPr>
            <w:tcW w:w="1075" w:type="dxa"/>
            <w:tcBorders>
              <w:top w:val="nil"/>
              <w:left w:val="nil"/>
              <w:bottom w:val="single" w:sz="4" w:space="0" w:color="auto"/>
              <w:right w:val="single" w:sz="4" w:space="0" w:color="auto"/>
            </w:tcBorders>
            <w:shd w:val="clear" w:color="F8CBAD" w:fill="FFFFFF"/>
            <w:noWrap/>
            <w:vAlign w:val="bottom"/>
            <w:hideMark/>
          </w:tcPr>
          <w:p w14:paraId="62E410E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54,50</w:t>
            </w:r>
          </w:p>
        </w:tc>
      </w:tr>
      <w:tr w:rsidR="002D4864" w:rsidRPr="00620F58" w14:paraId="1F7DE4EF"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FC9C2E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w:t>
            </w:r>
          </w:p>
        </w:tc>
        <w:tc>
          <w:tcPr>
            <w:tcW w:w="1845" w:type="dxa"/>
            <w:tcBorders>
              <w:top w:val="nil"/>
              <w:left w:val="nil"/>
              <w:bottom w:val="single" w:sz="4" w:space="0" w:color="auto"/>
              <w:right w:val="single" w:sz="4" w:space="0" w:color="auto"/>
            </w:tcBorders>
            <w:shd w:val="clear" w:color="000000" w:fill="FFFFFF"/>
            <w:noWrap/>
            <w:vAlign w:val="bottom"/>
            <w:hideMark/>
          </w:tcPr>
          <w:p w14:paraId="7A4794C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272457D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Jaagarahu</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8498A3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1023,50</w:t>
            </w:r>
          </w:p>
        </w:tc>
        <w:tc>
          <w:tcPr>
            <w:tcW w:w="1120" w:type="dxa"/>
            <w:tcBorders>
              <w:top w:val="nil"/>
              <w:left w:val="nil"/>
              <w:bottom w:val="single" w:sz="4" w:space="0" w:color="auto"/>
              <w:right w:val="single" w:sz="4" w:space="0" w:color="auto"/>
            </w:tcBorders>
            <w:shd w:val="clear" w:color="000000" w:fill="FFFFFF"/>
            <w:noWrap/>
            <w:vAlign w:val="bottom"/>
            <w:hideMark/>
          </w:tcPr>
          <w:p w14:paraId="7848875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295,50</w:t>
            </w:r>
          </w:p>
        </w:tc>
        <w:tc>
          <w:tcPr>
            <w:tcW w:w="1140" w:type="dxa"/>
            <w:tcBorders>
              <w:top w:val="nil"/>
              <w:left w:val="nil"/>
              <w:bottom w:val="single" w:sz="4" w:space="0" w:color="auto"/>
              <w:right w:val="single" w:sz="4" w:space="0" w:color="auto"/>
            </w:tcBorders>
            <w:shd w:val="clear" w:color="000000" w:fill="FFFFFF"/>
            <w:noWrap/>
            <w:vAlign w:val="bottom"/>
            <w:hideMark/>
          </w:tcPr>
          <w:p w14:paraId="117E19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369,00</w:t>
            </w:r>
          </w:p>
        </w:tc>
        <w:tc>
          <w:tcPr>
            <w:tcW w:w="1120" w:type="dxa"/>
            <w:tcBorders>
              <w:top w:val="nil"/>
              <w:left w:val="nil"/>
              <w:bottom w:val="single" w:sz="4" w:space="0" w:color="auto"/>
              <w:right w:val="single" w:sz="4" w:space="0" w:color="auto"/>
            </w:tcBorders>
            <w:shd w:val="clear" w:color="000000" w:fill="FFFFFF"/>
            <w:noWrap/>
            <w:vAlign w:val="bottom"/>
            <w:hideMark/>
          </w:tcPr>
          <w:p w14:paraId="2D9619A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349,30</w:t>
            </w:r>
          </w:p>
        </w:tc>
        <w:tc>
          <w:tcPr>
            <w:tcW w:w="931" w:type="dxa"/>
            <w:tcBorders>
              <w:top w:val="nil"/>
              <w:left w:val="nil"/>
              <w:bottom w:val="single" w:sz="4" w:space="0" w:color="auto"/>
              <w:right w:val="single" w:sz="4" w:space="0" w:color="auto"/>
            </w:tcBorders>
            <w:shd w:val="clear" w:color="000000" w:fill="FFFFFF"/>
            <w:noWrap/>
            <w:vAlign w:val="bottom"/>
            <w:hideMark/>
          </w:tcPr>
          <w:p w14:paraId="72638E6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616,00</w:t>
            </w:r>
          </w:p>
        </w:tc>
        <w:tc>
          <w:tcPr>
            <w:tcW w:w="1219" w:type="dxa"/>
            <w:tcBorders>
              <w:top w:val="nil"/>
              <w:left w:val="nil"/>
              <w:bottom w:val="single" w:sz="4" w:space="0" w:color="auto"/>
              <w:right w:val="single" w:sz="4" w:space="0" w:color="auto"/>
            </w:tcBorders>
            <w:shd w:val="clear" w:color="000000" w:fill="FFFFFF"/>
            <w:noWrap/>
            <w:vAlign w:val="bottom"/>
            <w:hideMark/>
          </w:tcPr>
          <w:p w14:paraId="705C25F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830,70</w:t>
            </w:r>
          </w:p>
        </w:tc>
        <w:tc>
          <w:tcPr>
            <w:tcW w:w="1075" w:type="dxa"/>
            <w:tcBorders>
              <w:top w:val="nil"/>
              <w:left w:val="nil"/>
              <w:bottom w:val="single" w:sz="4" w:space="0" w:color="auto"/>
              <w:right w:val="single" w:sz="4" w:space="0" w:color="auto"/>
            </w:tcBorders>
            <w:shd w:val="clear" w:color="000000" w:fill="FFFFFF"/>
            <w:noWrap/>
            <w:vAlign w:val="bottom"/>
            <w:hideMark/>
          </w:tcPr>
          <w:p w14:paraId="1A2884D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1757,00</w:t>
            </w:r>
          </w:p>
        </w:tc>
      </w:tr>
      <w:tr w:rsidR="002D4864" w:rsidRPr="00620F58" w14:paraId="283CACE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BC465B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w:t>
            </w:r>
          </w:p>
        </w:tc>
        <w:tc>
          <w:tcPr>
            <w:tcW w:w="1845" w:type="dxa"/>
            <w:tcBorders>
              <w:top w:val="nil"/>
              <w:left w:val="nil"/>
              <w:bottom w:val="single" w:sz="4" w:space="0" w:color="auto"/>
              <w:right w:val="single" w:sz="4" w:space="0" w:color="auto"/>
            </w:tcBorders>
            <w:shd w:val="clear" w:color="000000" w:fill="FFFFFF"/>
            <w:noWrap/>
            <w:vAlign w:val="bottom"/>
            <w:hideMark/>
          </w:tcPr>
          <w:p w14:paraId="787EDC7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5DDC4C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Jaani</w:t>
            </w:r>
          </w:p>
        </w:tc>
        <w:tc>
          <w:tcPr>
            <w:tcW w:w="1075" w:type="dxa"/>
            <w:tcBorders>
              <w:top w:val="nil"/>
              <w:left w:val="nil"/>
              <w:bottom w:val="single" w:sz="4" w:space="0" w:color="auto"/>
              <w:right w:val="single" w:sz="4" w:space="0" w:color="auto"/>
            </w:tcBorders>
            <w:shd w:val="clear" w:color="000000" w:fill="FFFFFF"/>
            <w:noWrap/>
            <w:vAlign w:val="bottom"/>
            <w:hideMark/>
          </w:tcPr>
          <w:p w14:paraId="17D2316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15,00</w:t>
            </w:r>
          </w:p>
        </w:tc>
        <w:tc>
          <w:tcPr>
            <w:tcW w:w="1120" w:type="dxa"/>
            <w:tcBorders>
              <w:top w:val="nil"/>
              <w:left w:val="nil"/>
              <w:bottom w:val="single" w:sz="4" w:space="0" w:color="auto"/>
              <w:right w:val="single" w:sz="4" w:space="0" w:color="auto"/>
            </w:tcBorders>
            <w:shd w:val="clear" w:color="000000" w:fill="FFFFFF"/>
            <w:noWrap/>
            <w:vAlign w:val="bottom"/>
            <w:hideMark/>
          </w:tcPr>
          <w:p w14:paraId="75BDF79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63,50</w:t>
            </w:r>
          </w:p>
        </w:tc>
        <w:tc>
          <w:tcPr>
            <w:tcW w:w="1140" w:type="dxa"/>
            <w:tcBorders>
              <w:top w:val="nil"/>
              <w:left w:val="nil"/>
              <w:bottom w:val="single" w:sz="4" w:space="0" w:color="auto"/>
              <w:right w:val="single" w:sz="4" w:space="0" w:color="auto"/>
            </w:tcBorders>
            <w:shd w:val="clear" w:color="000000" w:fill="FFFFFF"/>
            <w:noWrap/>
            <w:vAlign w:val="bottom"/>
            <w:hideMark/>
          </w:tcPr>
          <w:p w14:paraId="13D1088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310,00</w:t>
            </w:r>
          </w:p>
        </w:tc>
        <w:tc>
          <w:tcPr>
            <w:tcW w:w="1120" w:type="dxa"/>
            <w:tcBorders>
              <w:top w:val="nil"/>
              <w:left w:val="nil"/>
              <w:bottom w:val="single" w:sz="4" w:space="0" w:color="auto"/>
              <w:right w:val="single" w:sz="4" w:space="0" w:color="auto"/>
            </w:tcBorders>
            <w:shd w:val="clear" w:color="000000" w:fill="FFFFFF"/>
            <w:noWrap/>
            <w:vAlign w:val="bottom"/>
            <w:hideMark/>
          </w:tcPr>
          <w:p w14:paraId="5541937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9,00</w:t>
            </w:r>
          </w:p>
        </w:tc>
        <w:tc>
          <w:tcPr>
            <w:tcW w:w="931" w:type="dxa"/>
            <w:tcBorders>
              <w:top w:val="nil"/>
              <w:left w:val="nil"/>
              <w:bottom w:val="single" w:sz="4" w:space="0" w:color="auto"/>
              <w:right w:val="single" w:sz="4" w:space="0" w:color="auto"/>
            </w:tcBorders>
            <w:shd w:val="clear" w:color="000000" w:fill="FFFFFF"/>
            <w:noWrap/>
            <w:vAlign w:val="bottom"/>
            <w:hideMark/>
          </w:tcPr>
          <w:p w14:paraId="4FC3F7D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254,00</w:t>
            </w:r>
          </w:p>
        </w:tc>
        <w:tc>
          <w:tcPr>
            <w:tcW w:w="1219" w:type="dxa"/>
            <w:tcBorders>
              <w:top w:val="nil"/>
              <w:left w:val="nil"/>
              <w:bottom w:val="single" w:sz="4" w:space="0" w:color="auto"/>
              <w:right w:val="single" w:sz="4" w:space="0" w:color="auto"/>
            </w:tcBorders>
            <w:shd w:val="clear" w:color="000000" w:fill="FFFFFF"/>
            <w:noWrap/>
            <w:vAlign w:val="bottom"/>
            <w:hideMark/>
          </w:tcPr>
          <w:p w14:paraId="2C075C8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256,00</w:t>
            </w:r>
          </w:p>
        </w:tc>
        <w:tc>
          <w:tcPr>
            <w:tcW w:w="1075" w:type="dxa"/>
            <w:tcBorders>
              <w:top w:val="nil"/>
              <w:left w:val="nil"/>
              <w:bottom w:val="single" w:sz="4" w:space="0" w:color="auto"/>
              <w:right w:val="single" w:sz="4" w:space="0" w:color="auto"/>
            </w:tcBorders>
            <w:shd w:val="clear" w:color="000000" w:fill="FFFFFF"/>
            <w:noWrap/>
            <w:vAlign w:val="bottom"/>
            <w:hideMark/>
          </w:tcPr>
          <w:p w14:paraId="3176739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638,00</w:t>
            </w:r>
          </w:p>
        </w:tc>
      </w:tr>
      <w:tr w:rsidR="002D4864" w:rsidRPr="00620F58" w14:paraId="716E0C6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AC15C2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w:t>
            </w:r>
          </w:p>
        </w:tc>
        <w:tc>
          <w:tcPr>
            <w:tcW w:w="1845" w:type="dxa"/>
            <w:tcBorders>
              <w:top w:val="nil"/>
              <w:left w:val="nil"/>
              <w:bottom w:val="single" w:sz="4" w:space="0" w:color="auto"/>
              <w:right w:val="single" w:sz="4" w:space="0" w:color="auto"/>
            </w:tcBorders>
            <w:shd w:val="clear" w:color="000000" w:fill="FFFFFF"/>
            <w:noWrap/>
            <w:vAlign w:val="bottom"/>
            <w:hideMark/>
          </w:tcPr>
          <w:p w14:paraId="26FA10C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262616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Jõiste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33EC43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49F9729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01AE5FE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19A0FDB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73,00</w:t>
            </w:r>
          </w:p>
        </w:tc>
        <w:tc>
          <w:tcPr>
            <w:tcW w:w="931" w:type="dxa"/>
            <w:tcBorders>
              <w:top w:val="nil"/>
              <w:left w:val="nil"/>
              <w:bottom w:val="single" w:sz="4" w:space="0" w:color="auto"/>
              <w:right w:val="single" w:sz="4" w:space="0" w:color="auto"/>
            </w:tcBorders>
            <w:shd w:val="clear" w:color="000000" w:fill="FFFFFF"/>
            <w:noWrap/>
            <w:vAlign w:val="bottom"/>
            <w:hideMark/>
          </w:tcPr>
          <w:p w14:paraId="50328AE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24,00</w:t>
            </w:r>
          </w:p>
        </w:tc>
        <w:tc>
          <w:tcPr>
            <w:tcW w:w="1219" w:type="dxa"/>
            <w:tcBorders>
              <w:top w:val="nil"/>
              <w:left w:val="nil"/>
              <w:bottom w:val="single" w:sz="4" w:space="0" w:color="auto"/>
              <w:right w:val="single" w:sz="4" w:space="0" w:color="auto"/>
            </w:tcBorders>
            <w:shd w:val="clear" w:color="000000" w:fill="FFFFFF"/>
            <w:noWrap/>
            <w:vAlign w:val="bottom"/>
            <w:hideMark/>
          </w:tcPr>
          <w:p w14:paraId="3E06E76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63,00</w:t>
            </w:r>
          </w:p>
        </w:tc>
        <w:tc>
          <w:tcPr>
            <w:tcW w:w="1075" w:type="dxa"/>
            <w:tcBorders>
              <w:top w:val="nil"/>
              <w:left w:val="nil"/>
              <w:bottom w:val="single" w:sz="4" w:space="0" w:color="auto"/>
              <w:right w:val="single" w:sz="4" w:space="0" w:color="auto"/>
            </w:tcBorders>
            <w:shd w:val="clear" w:color="000000" w:fill="FFFFFF"/>
            <w:noWrap/>
            <w:vAlign w:val="bottom"/>
            <w:hideMark/>
          </w:tcPr>
          <w:p w14:paraId="29E92CF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00F41EB2"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5DF29C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w:t>
            </w:r>
          </w:p>
        </w:tc>
        <w:tc>
          <w:tcPr>
            <w:tcW w:w="1845" w:type="dxa"/>
            <w:tcBorders>
              <w:top w:val="nil"/>
              <w:left w:val="nil"/>
              <w:bottom w:val="single" w:sz="4" w:space="0" w:color="auto"/>
              <w:right w:val="single" w:sz="4" w:space="0" w:color="auto"/>
            </w:tcBorders>
            <w:shd w:val="clear" w:color="000000" w:fill="FFFFFF"/>
            <w:noWrap/>
            <w:vAlign w:val="bottom"/>
            <w:hideMark/>
          </w:tcPr>
          <w:p w14:paraId="7D53A1D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0C75C04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Jämaja</w:t>
            </w:r>
          </w:p>
        </w:tc>
        <w:tc>
          <w:tcPr>
            <w:tcW w:w="1075" w:type="dxa"/>
            <w:tcBorders>
              <w:top w:val="nil"/>
              <w:left w:val="nil"/>
              <w:bottom w:val="single" w:sz="4" w:space="0" w:color="auto"/>
              <w:right w:val="single" w:sz="4" w:space="0" w:color="auto"/>
            </w:tcBorders>
            <w:shd w:val="clear" w:color="000000" w:fill="FFFFFF"/>
            <w:noWrap/>
            <w:vAlign w:val="bottom"/>
            <w:hideMark/>
          </w:tcPr>
          <w:p w14:paraId="1C5E3CB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191,00</w:t>
            </w:r>
          </w:p>
        </w:tc>
        <w:tc>
          <w:tcPr>
            <w:tcW w:w="1120" w:type="dxa"/>
            <w:tcBorders>
              <w:top w:val="nil"/>
              <w:left w:val="nil"/>
              <w:bottom w:val="single" w:sz="4" w:space="0" w:color="auto"/>
              <w:right w:val="single" w:sz="4" w:space="0" w:color="auto"/>
            </w:tcBorders>
            <w:shd w:val="clear" w:color="000000" w:fill="FFFFFF"/>
            <w:noWrap/>
            <w:vAlign w:val="bottom"/>
            <w:hideMark/>
          </w:tcPr>
          <w:p w14:paraId="664CC31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261,00</w:t>
            </w:r>
          </w:p>
        </w:tc>
        <w:tc>
          <w:tcPr>
            <w:tcW w:w="1140" w:type="dxa"/>
            <w:tcBorders>
              <w:top w:val="nil"/>
              <w:left w:val="nil"/>
              <w:bottom w:val="single" w:sz="4" w:space="0" w:color="auto"/>
              <w:right w:val="single" w:sz="4" w:space="0" w:color="auto"/>
            </w:tcBorders>
            <w:shd w:val="clear" w:color="000000" w:fill="FFFFFF"/>
            <w:noWrap/>
            <w:vAlign w:val="bottom"/>
            <w:hideMark/>
          </w:tcPr>
          <w:p w14:paraId="29E4946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467,30</w:t>
            </w:r>
          </w:p>
        </w:tc>
        <w:tc>
          <w:tcPr>
            <w:tcW w:w="1120" w:type="dxa"/>
            <w:tcBorders>
              <w:top w:val="nil"/>
              <w:left w:val="nil"/>
              <w:bottom w:val="single" w:sz="4" w:space="0" w:color="auto"/>
              <w:right w:val="single" w:sz="4" w:space="0" w:color="auto"/>
            </w:tcBorders>
            <w:shd w:val="clear" w:color="000000" w:fill="FFFFFF"/>
            <w:noWrap/>
            <w:vAlign w:val="bottom"/>
            <w:hideMark/>
          </w:tcPr>
          <w:p w14:paraId="411D3D5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666,50</w:t>
            </w:r>
          </w:p>
        </w:tc>
        <w:tc>
          <w:tcPr>
            <w:tcW w:w="931" w:type="dxa"/>
            <w:tcBorders>
              <w:top w:val="nil"/>
              <w:left w:val="nil"/>
              <w:bottom w:val="single" w:sz="4" w:space="0" w:color="auto"/>
              <w:right w:val="single" w:sz="4" w:space="0" w:color="auto"/>
            </w:tcBorders>
            <w:shd w:val="clear" w:color="000000" w:fill="FFFFFF"/>
            <w:noWrap/>
            <w:vAlign w:val="bottom"/>
            <w:hideMark/>
          </w:tcPr>
          <w:p w14:paraId="19C6B58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522,00</w:t>
            </w:r>
          </w:p>
        </w:tc>
        <w:tc>
          <w:tcPr>
            <w:tcW w:w="1219" w:type="dxa"/>
            <w:tcBorders>
              <w:top w:val="nil"/>
              <w:left w:val="nil"/>
              <w:bottom w:val="single" w:sz="4" w:space="0" w:color="auto"/>
              <w:right w:val="single" w:sz="4" w:space="0" w:color="auto"/>
            </w:tcBorders>
            <w:shd w:val="clear" w:color="000000" w:fill="FFFFFF"/>
            <w:noWrap/>
            <w:vAlign w:val="bottom"/>
            <w:hideMark/>
          </w:tcPr>
          <w:p w14:paraId="772ED9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333,70</w:t>
            </w:r>
          </w:p>
        </w:tc>
        <w:tc>
          <w:tcPr>
            <w:tcW w:w="1075" w:type="dxa"/>
            <w:tcBorders>
              <w:top w:val="nil"/>
              <w:left w:val="nil"/>
              <w:bottom w:val="single" w:sz="4" w:space="0" w:color="auto"/>
              <w:right w:val="single" w:sz="4" w:space="0" w:color="auto"/>
            </w:tcBorders>
            <w:shd w:val="clear" w:color="000000" w:fill="FFFFFF"/>
            <w:noWrap/>
            <w:vAlign w:val="bottom"/>
            <w:hideMark/>
          </w:tcPr>
          <w:p w14:paraId="5B4BAB3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297,50</w:t>
            </w:r>
          </w:p>
        </w:tc>
      </w:tr>
      <w:tr w:rsidR="002D4864" w:rsidRPr="00620F58" w14:paraId="758B6641"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04A519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w:t>
            </w:r>
          </w:p>
        </w:tc>
        <w:tc>
          <w:tcPr>
            <w:tcW w:w="1845" w:type="dxa"/>
            <w:tcBorders>
              <w:top w:val="nil"/>
              <w:left w:val="nil"/>
              <w:bottom w:val="single" w:sz="4" w:space="0" w:color="auto"/>
              <w:right w:val="single" w:sz="4" w:space="0" w:color="auto"/>
            </w:tcBorders>
            <w:shd w:val="clear" w:color="000000" w:fill="FFFFFF"/>
            <w:noWrap/>
            <w:vAlign w:val="bottom"/>
            <w:hideMark/>
          </w:tcPr>
          <w:p w14:paraId="2E2970F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06DF87E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Järve- Niidiotsa</w:t>
            </w:r>
          </w:p>
        </w:tc>
        <w:tc>
          <w:tcPr>
            <w:tcW w:w="1075" w:type="dxa"/>
            <w:tcBorders>
              <w:top w:val="nil"/>
              <w:left w:val="nil"/>
              <w:bottom w:val="single" w:sz="4" w:space="0" w:color="auto"/>
              <w:right w:val="single" w:sz="4" w:space="0" w:color="auto"/>
            </w:tcBorders>
            <w:shd w:val="clear" w:color="000000" w:fill="FFFFFF"/>
            <w:noWrap/>
            <w:vAlign w:val="bottom"/>
            <w:hideMark/>
          </w:tcPr>
          <w:p w14:paraId="486DE57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141,70</w:t>
            </w:r>
          </w:p>
        </w:tc>
        <w:tc>
          <w:tcPr>
            <w:tcW w:w="1120" w:type="dxa"/>
            <w:tcBorders>
              <w:top w:val="nil"/>
              <w:left w:val="nil"/>
              <w:bottom w:val="single" w:sz="4" w:space="0" w:color="auto"/>
              <w:right w:val="single" w:sz="4" w:space="0" w:color="auto"/>
            </w:tcBorders>
            <w:shd w:val="clear" w:color="000000" w:fill="FFFFFF"/>
            <w:noWrap/>
            <w:vAlign w:val="bottom"/>
            <w:hideMark/>
          </w:tcPr>
          <w:p w14:paraId="3B0943C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59,00</w:t>
            </w:r>
          </w:p>
        </w:tc>
        <w:tc>
          <w:tcPr>
            <w:tcW w:w="1140" w:type="dxa"/>
            <w:tcBorders>
              <w:top w:val="nil"/>
              <w:left w:val="nil"/>
              <w:bottom w:val="single" w:sz="4" w:space="0" w:color="auto"/>
              <w:right w:val="single" w:sz="4" w:space="0" w:color="auto"/>
            </w:tcBorders>
            <w:shd w:val="clear" w:color="000000" w:fill="FFFFFF"/>
            <w:noWrap/>
            <w:vAlign w:val="bottom"/>
            <w:hideMark/>
          </w:tcPr>
          <w:p w14:paraId="6D7968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9,00</w:t>
            </w:r>
          </w:p>
        </w:tc>
        <w:tc>
          <w:tcPr>
            <w:tcW w:w="1120" w:type="dxa"/>
            <w:tcBorders>
              <w:top w:val="nil"/>
              <w:left w:val="nil"/>
              <w:bottom w:val="single" w:sz="4" w:space="0" w:color="auto"/>
              <w:right w:val="single" w:sz="4" w:space="0" w:color="auto"/>
            </w:tcBorders>
            <w:shd w:val="clear" w:color="000000" w:fill="FFFFFF"/>
            <w:noWrap/>
            <w:vAlign w:val="bottom"/>
            <w:hideMark/>
          </w:tcPr>
          <w:p w14:paraId="659BAC9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42,80</w:t>
            </w:r>
          </w:p>
        </w:tc>
        <w:tc>
          <w:tcPr>
            <w:tcW w:w="931" w:type="dxa"/>
            <w:tcBorders>
              <w:top w:val="nil"/>
              <w:left w:val="nil"/>
              <w:bottom w:val="single" w:sz="4" w:space="0" w:color="auto"/>
              <w:right w:val="single" w:sz="4" w:space="0" w:color="auto"/>
            </w:tcBorders>
            <w:shd w:val="clear" w:color="000000" w:fill="FFFFFF"/>
            <w:noWrap/>
            <w:vAlign w:val="bottom"/>
            <w:hideMark/>
          </w:tcPr>
          <w:p w14:paraId="20394CD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w:t>
            </w:r>
          </w:p>
        </w:tc>
        <w:tc>
          <w:tcPr>
            <w:tcW w:w="1219" w:type="dxa"/>
            <w:tcBorders>
              <w:top w:val="nil"/>
              <w:left w:val="nil"/>
              <w:bottom w:val="single" w:sz="4" w:space="0" w:color="auto"/>
              <w:right w:val="single" w:sz="4" w:space="0" w:color="auto"/>
            </w:tcBorders>
            <w:shd w:val="clear" w:color="000000" w:fill="FFFFFF"/>
            <w:noWrap/>
            <w:vAlign w:val="bottom"/>
            <w:hideMark/>
          </w:tcPr>
          <w:p w14:paraId="5146879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000000" w:fill="FFFFFF"/>
            <w:noWrap/>
            <w:vAlign w:val="bottom"/>
            <w:hideMark/>
          </w:tcPr>
          <w:p w14:paraId="19CD56E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87,00</w:t>
            </w:r>
          </w:p>
        </w:tc>
      </w:tr>
      <w:tr w:rsidR="002D4864" w:rsidRPr="00620F58" w14:paraId="33E079C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FDECE5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w:t>
            </w:r>
          </w:p>
        </w:tc>
        <w:tc>
          <w:tcPr>
            <w:tcW w:w="1845" w:type="dxa"/>
            <w:tcBorders>
              <w:top w:val="nil"/>
              <w:left w:val="nil"/>
              <w:bottom w:val="single" w:sz="4" w:space="0" w:color="auto"/>
              <w:right w:val="single" w:sz="4" w:space="0" w:color="auto"/>
            </w:tcBorders>
            <w:shd w:val="clear" w:color="000000" w:fill="FFFFFF"/>
            <w:noWrap/>
            <w:vAlign w:val="bottom"/>
            <w:hideMark/>
          </w:tcPr>
          <w:p w14:paraId="219F9E4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0387D13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Kaavi</w:t>
            </w:r>
            <w:proofErr w:type="spellEnd"/>
            <w:r w:rsidRPr="002D4864">
              <w:rPr>
                <w:rFonts w:ascii="Times New Roman" w:eastAsia="Times New Roman" w:hAnsi="Times New Roman" w:cs="Times New Roman"/>
                <w:color w:val="000000"/>
                <w:sz w:val="22"/>
                <w:szCs w:val="22"/>
              </w:rPr>
              <w:t xml:space="preserve"> paadisadam</w:t>
            </w:r>
          </w:p>
        </w:tc>
        <w:tc>
          <w:tcPr>
            <w:tcW w:w="1075" w:type="dxa"/>
            <w:tcBorders>
              <w:top w:val="nil"/>
              <w:left w:val="nil"/>
              <w:bottom w:val="single" w:sz="4" w:space="0" w:color="auto"/>
              <w:right w:val="single" w:sz="4" w:space="0" w:color="auto"/>
            </w:tcBorders>
            <w:shd w:val="clear" w:color="000000" w:fill="FFFFFF"/>
            <w:noWrap/>
            <w:vAlign w:val="bottom"/>
            <w:hideMark/>
          </w:tcPr>
          <w:p w14:paraId="0C716F5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5692,20</w:t>
            </w:r>
          </w:p>
        </w:tc>
        <w:tc>
          <w:tcPr>
            <w:tcW w:w="1120" w:type="dxa"/>
            <w:tcBorders>
              <w:top w:val="nil"/>
              <w:left w:val="nil"/>
              <w:bottom w:val="single" w:sz="4" w:space="0" w:color="auto"/>
              <w:right w:val="single" w:sz="4" w:space="0" w:color="auto"/>
            </w:tcBorders>
            <w:shd w:val="clear" w:color="000000" w:fill="FFFFFF"/>
            <w:noWrap/>
            <w:vAlign w:val="bottom"/>
            <w:hideMark/>
          </w:tcPr>
          <w:p w14:paraId="76C91FF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11753,30</w:t>
            </w:r>
          </w:p>
        </w:tc>
        <w:tc>
          <w:tcPr>
            <w:tcW w:w="1140" w:type="dxa"/>
            <w:tcBorders>
              <w:top w:val="nil"/>
              <w:left w:val="nil"/>
              <w:bottom w:val="single" w:sz="4" w:space="0" w:color="auto"/>
              <w:right w:val="single" w:sz="4" w:space="0" w:color="auto"/>
            </w:tcBorders>
            <w:shd w:val="clear" w:color="000000" w:fill="FFFFFF"/>
            <w:noWrap/>
            <w:vAlign w:val="bottom"/>
            <w:hideMark/>
          </w:tcPr>
          <w:p w14:paraId="1CDC2BE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8586,30</w:t>
            </w:r>
          </w:p>
        </w:tc>
        <w:tc>
          <w:tcPr>
            <w:tcW w:w="1120" w:type="dxa"/>
            <w:tcBorders>
              <w:top w:val="nil"/>
              <w:left w:val="nil"/>
              <w:bottom w:val="single" w:sz="4" w:space="0" w:color="auto"/>
              <w:right w:val="single" w:sz="4" w:space="0" w:color="auto"/>
            </w:tcBorders>
            <w:shd w:val="clear" w:color="000000" w:fill="FFFFFF"/>
            <w:noWrap/>
            <w:vAlign w:val="bottom"/>
            <w:hideMark/>
          </w:tcPr>
          <w:p w14:paraId="458C5F5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9189,50</w:t>
            </w:r>
          </w:p>
        </w:tc>
        <w:tc>
          <w:tcPr>
            <w:tcW w:w="931" w:type="dxa"/>
            <w:tcBorders>
              <w:top w:val="nil"/>
              <w:left w:val="nil"/>
              <w:bottom w:val="single" w:sz="4" w:space="0" w:color="auto"/>
              <w:right w:val="single" w:sz="4" w:space="0" w:color="auto"/>
            </w:tcBorders>
            <w:shd w:val="clear" w:color="000000" w:fill="FFFFFF"/>
            <w:noWrap/>
            <w:vAlign w:val="bottom"/>
            <w:hideMark/>
          </w:tcPr>
          <w:p w14:paraId="35321EB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6976,00</w:t>
            </w:r>
          </w:p>
        </w:tc>
        <w:tc>
          <w:tcPr>
            <w:tcW w:w="1219" w:type="dxa"/>
            <w:tcBorders>
              <w:top w:val="nil"/>
              <w:left w:val="nil"/>
              <w:bottom w:val="single" w:sz="4" w:space="0" w:color="auto"/>
              <w:right w:val="single" w:sz="4" w:space="0" w:color="auto"/>
            </w:tcBorders>
            <w:shd w:val="clear" w:color="000000" w:fill="FFFFFF"/>
            <w:noWrap/>
            <w:vAlign w:val="bottom"/>
            <w:hideMark/>
          </w:tcPr>
          <w:p w14:paraId="5ED210D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2461,10</w:t>
            </w:r>
          </w:p>
        </w:tc>
        <w:tc>
          <w:tcPr>
            <w:tcW w:w="1075" w:type="dxa"/>
            <w:tcBorders>
              <w:top w:val="nil"/>
              <w:left w:val="nil"/>
              <w:bottom w:val="single" w:sz="4" w:space="0" w:color="auto"/>
              <w:right w:val="single" w:sz="4" w:space="0" w:color="auto"/>
            </w:tcBorders>
            <w:shd w:val="clear" w:color="000000" w:fill="FFFFFF"/>
            <w:noWrap/>
            <w:vAlign w:val="bottom"/>
            <w:hideMark/>
          </w:tcPr>
          <w:p w14:paraId="3BDD4D0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2215,90</w:t>
            </w:r>
          </w:p>
        </w:tc>
      </w:tr>
      <w:tr w:rsidR="002D4864" w:rsidRPr="00620F58" w14:paraId="1A1F884D"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45ACB3A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w:t>
            </w:r>
          </w:p>
        </w:tc>
        <w:tc>
          <w:tcPr>
            <w:tcW w:w="1845" w:type="dxa"/>
            <w:tcBorders>
              <w:top w:val="nil"/>
              <w:left w:val="nil"/>
              <w:bottom w:val="single" w:sz="4" w:space="0" w:color="auto"/>
              <w:right w:val="single" w:sz="4" w:space="0" w:color="auto"/>
            </w:tcBorders>
            <w:shd w:val="clear" w:color="F8CBAD" w:fill="FFFFFF"/>
            <w:noWrap/>
            <w:vAlign w:val="bottom"/>
            <w:hideMark/>
          </w:tcPr>
          <w:p w14:paraId="0D74671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45A3559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Kadastiku- Saareküla</w:t>
            </w:r>
          </w:p>
        </w:tc>
        <w:tc>
          <w:tcPr>
            <w:tcW w:w="1075" w:type="dxa"/>
            <w:tcBorders>
              <w:top w:val="nil"/>
              <w:left w:val="nil"/>
              <w:bottom w:val="single" w:sz="4" w:space="0" w:color="auto"/>
              <w:right w:val="single" w:sz="4" w:space="0" w:color="auto"/>
            </w:tcBorders>
            <w:shd w:val="clear" w:color="F8CBAD" w:fill="FFFFFF"/>
            <w:noWrap/>
            <w:vAlign w:val="bottom"/>
            <w:hideMark/>
          </w:tcPr>
          <w:p w14:paraId="2616535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4188559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2648A76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4C49CAB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45F2BB3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0C0482E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241D7BB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r>
      <w:tr w:rsidR="002D4864" w:rsidRPr="00620F58" w14:paraId="18FCA1C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6BCB8A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w:t>
            </w:r>
          </w:p>
        </w:tc>
        <w:tc>
          <w:tcPr>
            <w:tcW w:w="1845" w:type="dxa"/>
            <w:tcBorders>
              <w:top w:val="nil"/>
              <w:left w:val="nil"/>
              <w:bottom w:val="single" w:sz="4" w:space="0" w:color="auto"/>
              <w:right w:val="single" w:sz="4" w:space="0" w:color="auto"/>
            </w:tcBorders>
            <w:shd w:val="clear" w:color="000000" w:fill="FFFFFF"/>
            <w:noWrap/>
            <w:vAlign w:val="bottom"/>
            <w:hideMark/>
          </w:tcPr>
          <w:p w14:paraId="5103DD5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1C4F3F2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Kaldu sadam</w:t>
            </w:r>
          </w:p>
        </w:tc>
        <w:tc>
          <w:tcPr>
            <w:tcW w:w="1075" w:type="dxa"/>
            <w:tcBorders>
              <w:top w:val="nil"/>
              <w:left w:val="nil"/>
              <w:bottom w:val="single" w:sz="4" w:space="0" w:color="auto"/>
              <w:right w:val="single" w:sz="4" w:space="0" w:color="auto"/>
            </w:tcBorders>
            <w:shd w:val="clear" w:color="000000" w:fill="FFFFFF"/>
            <w:noWrap/>
            <w:vAlign w:val="bottom"/>
            <w:hideMark/>
          </w:tcPr>
          <w:p w14:paraId="273782C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10925,00</w:t>
            </w:r>
          </w:p>
        </w:tc>
        <w:tc>
          <w:tcPr>
            <w:tcW w:w="1120" w:type="dxa"/>
            <w:tcBorders>
              <w:top w:val="nil"/>
              <w:left w:val="nil"/>
              <w:bottom w:val="single" w:sz="4" w:space="0" w:color="auto"/>
              <w:right w:val="single" w:sz="4" w:space="0" w:color="auto"/>
            </w:tcBorders>
            <w:shd w:val="clear" w:color="000000" w:fill="FFFFFF"/>
            <w:noWrap/>
            <w:vAlign w:val="bottom"/>
            <w:hideMark/>
          </w:tcPr>
          <w:p w14:paraId="17A0050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11701,00</w:t>
            </w:r>
          </w:p>
        </w:tc>
        <w:tc>
          <w:tcPr>
            <w:tcW w:w="1140" w:type="dxa"/>
            <w:tcBorders>
              <w:top w:val="nil"/>
              <w:left w:val="nil"/>
              <w:bottom w:val="single" w:sz="4" w:space="0" w:color="auto"/>
              <w:right w:val="single" w:sz="4" w:space="0" w:color="auto"/>
            </w:tcBorders>
            <w:shd w:val="clear" w:color="000000" w:fill="FFFFFF"/>
            <w:noWrap/>
            <w:vAlign w:val="bottom"/>
            <w:hideMark/>
          </w:tcPr>
          <w:p w14:paraId="70EE7C8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14309,00</w:t>
            </w:r>
          </w:p>
        </w:tc>
        <w:tc>
          <w:tcPr>
            <w:tcW w:w="1120" w:type="dxa"/>
            <w:tcBorders>
              <w:top w:val="nil"/>
              <w:left w:val="nil"/>
              <w:bottom w:val="single" w:sz="4" w:space="0" w:color="auto"/>
              <w:right w:val="single" w:sz="4" w:space="0" w:color="auto"/>
            </w:tcBorders>
            <w:shd w:val="clear" w:color="000000" w:fill="FFFFFF"/>
            <w:noWrap/>
            <w:vAlign w:val="bottom"/>
            <w:hideMark/>
          </w:tcPr>
          <w:p w14:paraId="082BC80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13428,00</w:t>
            </w:r>
          </w:p>
        </w:tc>
        <w:tc>
          <w:tcPr>
            <w:tcW w:w="931" w:type="dxa"/>
            <w:tcBorders>
              <w:top w:val="nil"/>
              <w:left w:val="nil"/>
              <w:bottom w:val="single" w:sz="4" w:space="0" w:color="auto"/>
              <w:right w:val="single" w:sz="4" w:space="0" w:color="auto"/>
            </w:tcBorders>
            <w:shd w:val="clear" w:color="000000" w:fill="FFFFFF"/>
            <w:noWrap/>
            <w:vAlign w:val="bottom"/>
            <w:hideMark/>
          </w:tcPr>
          <w:p w14:paraId="12A5293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11941,00</w:t>
            </w:r>
          </w:p>
        </w:tc>
        <w:tc>
          <w:tcPr>
            <w:tcW w:w="1219" w:type="dxa"/>
            <w:tcBorders>
              <w:top w:val="nil"/>
              <w:left w:val="nil"/>
              <w:bottom w:val="single" w:sz="4" w:space="0" w:color="auto"/>
              <w:right w:val="single" w:sz="4" w:space="0" w:color="auto"/>
            </w:tcBorders>
            <w:shd w:val="clear" w:color="000000" w:fill="FFFFFF"/>
            <w:noWrap/>
            <w:vAlign w:val="bottom"/>
            <w:hideMark/>
          </w:tcPr>
          <w:p w14:paraId="652B85D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10594,00</w:t>
            </w:r>
          </w:p>
        </w:tc>
        <w:tc>
          <w:tcPr>
            <w:tcW w:w="1075" w:type="dxa"/>
            <w:tcBorders>
              <w:top w:val="nil"/>
              <w:left w:val="nil"/>
              <w:bottom w:val="single" w:sz="4" w:space="0" w:color="auto"/>
              <w:right w:val="single" w:sz="4" w:space="0" w:color="auto"/>
            </w:tcBorders>
            <w:shd w:val="clear" w:color="000000" w:fill="FFFFFF"/>
            <w:noWrap/>
            <w:vAlign w:val="bottom"/>
            <w:hideMark/>
          </w:tcPr>
          <w:p w14:paraId="51BB496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9533,00</w:t>
            </w:r>
          </w:p>
        </w:tc>
      </w:tr>
      <w:tr w:rsidR="002D4864" w:rsidRPr="00620F58" w14:paraId="5B9502B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ED73E9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w:t>
            </w:r>
          </w:p>
        </w:tc>
        <w:tc>
          <w:tcPr>
            <w:tcW w:w="1845" w:type="dxa"/>
            <w:tcBorders>
              <w:top w:val="nil"/>
              <w:left w:val="nil"/>
              <w:bottom w:val="single" w:sz="4" w:space="0" w:color="auto"/>
              <w:right w:val="single" w:sz="4" w:space="0" w:color="auto"/>
            </w:tcBorders>
            <w:shd w:val="clear" w:color="000000" w:fill="FFFFFF"/>
            <w:noWrap/>
            <w:vAlign w:val="bottom"/>
            <w:hideMark/>
          </w:tcPr>
          <w:p w14:paraId="1287EA0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032A3F4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 xml:space="preserve">Kallasmaa </w:t>
            </w:r>
          </w:p>
        </w:tc>
        <w:tc>
          <w:tcPr>
            <w:tcW w:w="1075" w:type="dxa"/>
            <w:tcBorders>
              <w:top w:val="nil"/>
              <w:left w:val="nil"/>
              <w:bottom w:val="single" w:sz="4" w:space="0" w:color="auto"/>
              <w:right w:val="single" w:sz="4" w:space="0" w:color="auto"/>
            </w:tcBorders>
            <w:shd w:val="clear" w:color="000000" w:fill="FFFFFF"/>
            <w:noWrap/>
            <w:vAlign w:val="bottom"/>
            <w:hideMark/>
          </w:tcPr>
          <w:p w14:paraId="06CB334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1011,00</w:t>
            </w:r>
          </w:p>
        </w:tc>
        <w:tc>
          <w:tcPr>
            <w:tcW w:w="1120" w:type="dxa"/>
            <w:tcBorders>
              <w:top w:val="nil"/>
              <w:left w:val="nil"/>
              <w:bottom w:val="single" w:sz="4" w:space="0" w:color="auto"/>
              <w:right w:val="single" w:sz="4" w:space="0" w:color="auto"/>
            </w:tcBorders>
            <w:shd w:val="clear" w:color="000000" w:fill="FFFFFF"/>
            <w:noWrap/>
            <w:vAlign w:val="bottom"/>
            <w:hideMark/>
          </w:tcPr>
          <w:p w14:paraId="3C7A2CF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1769,00</w:t>
            </w:r>
          </w:p>
        </w:tc>
        <w:tc>
          <w:tcPr>
            <w:tcW w:w="1140" w:type="dxa"/>
            <w:tcBorders>
              <w:top w:val="nil"/>
              <w:left w:val="nil"/>
              <w:bottom w:val="single" w:sz="4" w:space="0" w:color="auto"/>
              <w:right w:val="single" w:sz="4" w:space="0" w:color="auto"/>
            </w:tcBorders>
            <w:shd w:val="clear" w:color="000000" w:fill="FFFFFF"/>
            <w:noWrap/>
            <w:vAlign w:val="bottom"/>
            <w:hideMark/>
          </w:tcPr>
          <w:p w14:paraId="361CD7B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2139,00</w:t>
            </w:r>
          </w:p>
        </w:tc>
        <w:tc>
          <w:tcPr>
            <w:tcW w:w="1120" w:type="dxa"/>
            <w:tcBorders>
              <w:top w:val="nil"/>
              <w:left w:val="nil"/>
              <w:bottom w:val="single" w:sz="4" w:space="0" w:color="auto"/>
              <w:right w:val="single" w:sz="4" w:space="0" w:color="auto"/>
            </w:tcBorders>
            <w:shd w:val="clear" w:color="000000" w:fill="FFFFFF"/>
            <w:noWrap/>
            <w:vAlign w:val="bottom"/>
            <w:hideMark/>
          </w:tcPr>
          <w:p w14:paraId="0B8C750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1191,00</w:t>
            </w:r>
          </w:p>
        </w:tc>
        <w:tc>
          <w:tcPr>
            <w:tcW w:w="931" w:type="dxa"/>
            <w:tcBorders>
              <w:top w:val="nil"/>
              <w:left w:val="nil"/>
              <w:bottom w:val="single" w:sz="4" w:space="0" w:color="auto"/>
              <w:right w:val="single" w:sz="4" w:space="0" w:color="auto"/>
            </w:tcBorders>
            <w:shd w:val="clear" w:color="000000" w:fill="FFFFFF"/>
            <w:noWrap/>
            <w:vAlign w:val="bottom"/>
            <w:hideMark/>
          </w:tcPr>
          <w:p w14:paraId="2672567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951,00</w:t>
            </w:r>
          </w:p>
        </w:tc>
        <w:tc>
          <w:tcPr>
            <w:tcW w:w="1219" w:type="dxa"/>
            <w:tcBorders>
              <w:top w:val="nil"/>
              <w:left w:val="nil"/>
              <w:bottom w:val="single" w:sz="4" w:space="0" w:color="auto"/>
              <w:right w:val="single" w:sz="4" w:space="0" w:color="auto"/>
            </w:tcBorders>
            <w:shd w:val="clear" w:color="000000" w:fill="FFFFFF"/>
            <w:noWrap/>
            <w:vAlign w:val="bottom"/>
            <w:hideMark/>
          </w:tcPr>
          <w:p w14:paraId="0B6B498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256,00</w:t>
            </w:r>
          </w:p>
        </w:tc>
        <w:tc>
          <w:tcPr>
            <w:tcW w:w="1075" w:type="dxa"/>
            <w:tcBorders>
              <w:top w:val="nil"/>
              <w:left w:val="nil"/>
              <w:bottom w:val="single" w:sz="4" w:space="0" w:color="auto"/>
              <w:right w:val="single" w:sz="4" w:space="0" w:color="auto"/>
            </w:tcBorders>
            <w:shd w:val="clear" w:color="000000" w:fill="FFFFFF"/>
            <w:noWrap/>
            <w:vAlign w:val="bottom"/>
            <w:hideMark/>
          </w:tcPr>
          <w:p w14:paraId="2DEF978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116,00</w:t>
            </w:r>
          </w:p>
        </w:tc>
      </w:tr>
      <w:tr w:rsidR="002D4864" w:rsidRPr="00620F58" w14:paraId="2E39BA13"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7E95024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w:t>
            </w:r>
          </w:p>
        </w:tc>
        <w:tc>
          <w:tcPr>
            <w:tcW w:w="1845" w:type="dxa"/>
            <w:tcBorders>
              <w:top w:val="nil"/>
              <w:left w:val="nil"/>
              <w:bottom w:val="single" w:sz="4" w:space="0" w:color="auto"/>
              <w:right w:val="single" w:sz="4" w:space="0" w:color="auto"/>
            </w:tcBorders>
            <w:shd w:val="clear" w:color="F8CBAD" w:fill="FFFFFF"/>
            <w:noWrap/>
            <w:vAlign w:val="bottom"/>
            <w:hideMark/>
          </w:tcPr>
          <w:p w14:paraId="358691E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06971DE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Kallaste Kihelkonna</w:t>
            </w:r>
          </w:p>
        </w:tc>
        <w:tc>
          <w:tcPr>
            <w:tcW w:w="1075" w:type="dxa"/>
            <w:tcBorders>
              <w:top w:val="nil"/>
              <w:left w:val="nil"/>
              <w:bottom w:val="single" w:sz="4" w:space="0" w:color="auto"/>
              <w:right w:val="single" w:sz="4" w:space="0" w:color="auto"/>
            </w:tcBorders>
            <w:shd w:val="clear" w:color="F8CBAD" w:fill="FFFFFF"/>
            <w:noWrap/>
            <w:vAlign w:val="bottom"/>
            <w:hideMark/>
          </w:tcPr>
          <w:p w14:paraId="6E633DD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70479AB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06087C2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E90049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w:t>
            </w:r>
          </w:p>
        </w:tc>
        <w:tc>
          <w:tcPr>
            <w:tcW w:w="931" w:type="dxa"/>
            <w:tcBorders>
              <w:top w:val="nil"/>
              <w:left w:val="nil"/>
              <w:bottom w:val="single" w:sz="4" w:space="0" w:color="auto"/>
              <w:right w:val="single" w:sz="4" w:space="0" w:color="auto"/>
            </w:tcBorders>
            <w:shd w:val="clear" w:color="F8CBAD" w:fill="FFFFFF"/>
            <w:noWrap/>
            <w:vAlign w:val="bottom"/>
            <w:hideMark/>
          </w:tcPr>
          <w:p w14:paraId="460CEA9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788FDB7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41E2A0A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3FBEFC91"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7A4467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w:t>
            </w:r>
          </w:p>
        </w:tc>
        <w:tc>
          <w:tcPr>
            <w:tcW w:w="1845" w:type="dxa"/>
            <w:tcBorders>
              <w:top w:val="nil"/>
              <w:left w:val="nil"/>
              <w:bottom w:val="single" w:sz="4" w:space="0" w:color="auto"/>
              <w:right w:val="single" w:sz="4" w:space="0" w:color="auto"/>
            </w:tcBorders>
            <w:shd w:val="clear" w:color="000000" w:fill="FFFFFF"/>
            <w:noWrap/>
            <w:vAlign w:val="bottom"/>
            <w:hideMark/>
          </w:tcPr>
          <w:p w14:paraId="74301BB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4A44F9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Karuste</w:t>
            </w:r>
          </w:p>
        </w:tc>
        <w:tc>
          <w:tcPr>
            <w:tcW w:w="1075" w:type="dxa"/>
            <w:tcBorders>
              <w:top w:val="nil"/>
              <w:left w:val="nil"/>
              <w:bottom w:val="single" w:sz="4" w:space="0" w:color="auto"/>
              <w:right w:val="single" w:sz="4" w:space="0" w:color="auto"/>
            </w:tcBorders>
            <w:shd w:val="clear" w:color="000000" w:fill="FFFFFF"/>
            <w:noWrap/>
            <w:vAlign w:val="bottom"/>
            <w:hideMark/>
          </w:tcPr>
          <w:p w14:paraId="5E8F17E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119,00</w:t>
            </w:r>
          </w:p>
        </w:tc>
        <w:tc>
          <w:tcPr>
            <w:tcW w:w="1120" w:type="dxa"/>
            <w:tcBorders>
              <w:top w:val="nil"/>
              <w:left w:val="nil"/>
              <w:bottom w:val="single" w:sz="4" w:space="0" w:color="auto"/>
              <w:right w:val="single" w:sz="4" w:space="0" w:color="auto"/>
            </w:tcBorders>
            <w:shd w:val="clear" w:color="000000" w:fill="FFFFFF"/>
            <w:noWrap/>
            <w:vAlign w:val="bottom"/>
            <w:hideMark/>
          </w:tcPr>
          <w:p w14:paraId="3295832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1093,40</w:t>
            </w:r>
          </w:p>
        </w:tc>
        <w:tc>
          <w:tcPr>
            <w:tcW w:w="1140" w:type="dxa"/>
            <w:tcBorders>
              <w:top w:val="nil"/>
              <w:left w:val="nil"/>
              <w:bottom w:val="single" w:sz="4" w:space="0" w:color="auto"/>
              <w:right w:val="single" w:sz="4" w:space="0" w:color="auto"/>
            </w:tcBorders>
            <w:shd w:val="clear" w:color="000000" w:fill="FFFFFF"/>
            <w:noWrap/>
            <w:vAlign w:val="bottom"/>
            <w:hideMark/>
          </w:tcPr>
          <w:p w14:paraId="2CD4BDB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993,20</w:t>
            </w:r>
          </w:p>
        </w:tc>
        <w:tc>
          <w:tcPr>
            <w:tcW w:w="1120" w:type="dxa"/>
            <w:tcBorders>
              <w:top w:val="nil"/>
              <w:left w:val="nil"/>
              <w:bottom w:val="single" w:sz="4" w:space="0" w:color="auto"/>
              <w:right w:val="single" w:sz="4" w:space="0" w:color="auto"/>
            </w:tcBorders>
            <w:shd w:val="clear" w:color="000000" w:fill="FFFFFF"/>
            <w:noWrap/>
            <w:vAlign w:val="bottom"/>
            <w:hideMark/>
          </w:tcPr>
          <w:p w14:paraId="787EF3D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384,80</w:t>
            </w:r>
          </w:p>
        </w:tc>
        <w:tc>
          <w:tcPr>
            <w:tcW w:w="931" w:type="dxa"/>
            <w:tcBorders>
              <w:top w:val="nil"/>
              <w:left w:val="nil"/>
              <w:bottom w:val="single" w:sz="4" w:space="0" w:color="auto"/>
              <w:right w:val="single" w:sz="4" w:space="0" w:color="auto"/>
            </w:tcBorders>
            <w:shd w:val="clear" w:color="000000" w:fill="FFFFFF"/>
            <w:noWrap/>
            <w:vAlign w:val="bottom"/>
            <w:hideMark/>
          </w:tcPr>
          <w:p w14:paraId="395C66B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1023,00</w:t>
            </w:r>
          </w:p>
        </w:tc>
        <w:tc>
          <w:tcPr>
            <w:tcW w:w="1219" w:type="dxa"/>
            <w:tcBorders>
              <w:top w:val="nil"/>
              <w:left w:val="nil"/>
              <w:bottom w:val="single" w:sz="4" w:space="0" w:color="auto"/>
              <w:right w:val="single" w:sz="4" w:space="0" w:color="auto"/>
            </w:tcBorders>
            <w:shd w:val="clear" w:color="000000" w:fill="FFFFFF"/>
            <w:noWrap/>
            <w:vAlign w:val="bottom"/>
            <w:hideMark/>
          </w:tcPr>
          <w:p w14:paraId="28DCCFD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781,00</w:t>
            </w:r>
          </w:p>
        </w:tc>
        <w:tc>
          <w:tcPr>
            <w:tcW w:w="1075" w:type="dxa"/>
            <w:tcBorders>
              <w:top w:val="nil"/>
              <w:left w:val="nil"/>
              <w:bottom w:val="single" w:sz="4" w:space="0" w:color="auto"/>
              <w:right w:val="single" w:sz="4" w:space="0" w:color="auto"/>
            </w:tcBorders>
            <w:shd w:val="clear" w:color="000000" w:fill="FFFFFF"/>
            <w:noWrap/>
            <w:vAlign w:val="bottom"/>
            <w:hideMark/>
          </w:tcPr>
          <w:p w14:paraId="3A1E841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650,20</w:t>
            </w:r>
          </w:p>
        </w:tc>
      </w:tr>
      <w:tr w:rsidR="002D4864" w:rsidRPr="00620F58" w14:paraId="775BC04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CEC0AB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w:t>
            </w:r>
          </w:p>
        </w:tc>
        <w:tc>
          <w:tcPr>
            <w:tcW w:w="1845" w:type="dxa"/>
            <w:tcBorders>
              <w:top w:val="nil"/>
              <w:left w:val="nil"/>
              <w:bottom w:val="single" w:sz="4" w:space="0" w:color="auto"/>
              <w:right w:val="single" w:sz="4" w:space="0" w:color="auto"/>
            </w:tcBorders>
            <w:shd w:val="clear" w:color="000000" w:fill="FFFFFF"/>
            <w:noWrap/>
            <w:vAlign w:val="bottom"/>
            <w:hideMark/>
          </w:tcPr>
          <w:p w14:paraId="2663BF4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BAD2A5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Katri</w:t>
            </w:r>
          </w:p>
        </w:tc>
        <w:tc>
          <w:tcPr>
            <w:tcW w:w="1075" w:type="dxa"/>
            <w:tcBorders>
              <w:top w:val="nil"/>
              <w:left w:val="nil"/>
              <w:bottom w:val="single" w:sz="4" w:space="0" w:color="auto"/>
              <w:right w:val="single" w:sz="4" w:space="0" w:color="auto"/>
            </w:tcBorders>
            <w:shd w:val="clear" w:color="000000" w:fill="FFFFFF"/>
            <w:noWrap/>
            <w:vAlign w:val="bottom"/>
            <w:hideMark/>
          </w:tcPr>
          <w:p w14:paraId="1D3DD32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506,30</w:t>
            </w:r>
          </w:p>
        </w:tc>
        <w:tc>
          <w:tcPr>
            <w:tcW w:w="1120" w:type="dxa"/>
            <w:tcBorders>
              <w:top w:val="nil"/>
              <w:left w:val="nil"/>
              <w:bottom w:val="single" w:sz="4" w:space="0" w:color="auto"/>
              <w:right w:val="single" w:sz="4" w:space="0" w:color="auto"/>
            </w:tcBorders>
            <w:shd w:val="clear" w:color="000000" w:fill="FFFFFF"/>
            <w:noWrap/>
            <w:vAlign w:val="bottom"/>
            <w:hideMark/>
          </w:tcPr>
          <w:p w14:paraId="67DB261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607,90</w:t>
            </w:r>
          </w:p>
        </w:tc>
        <w:tc>
          <w:tcPr>
            <w:tcW w:w="1140" w:type="dxa"/>
            <w:tcBorders>
              <w:top w:val="nil"/>
              <w:left w:val="nil"/>
              <w:bottom w:val="single" w:sz="4" w:space="0" w:color="auto"/>
              <w:right w:val="single" w:sz="4" w:space="0" w:color="auto"/>
            </w:tcBorders>
            <w:shd w:val="clear" w:color="000000" w:fill="FFFFFF"/>
            <w:noWrap/>
            <w:vAlign w:val="bottom"/>
            <w:hideMark/>
          </w:tcPr>
          <w:p w14:paraId="5D50F16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986,00</w:t>
            </w:r>
          </w:p>
        </w:tc>
        <w:tc>
          <w:tcPr>
            <w:tcW w:w="1120" w:type="dxa"/>
            <w:tcBorders>
              <w:top w:val="nil"/>
              <w:left w:val="nil"/>
              <w:bottom w:val="single" w:sz="4" w:space="0" w:color="auto"/>
              <w:right w:val="single" w:sz="4" w:space="0" w:color="auto"/>
            </w:tcBorders>
            <w:shd w:val="clear" w:color="000000" w:fill="FFFFFF"/>
            <w:noWrap/>
            <w:vAlign w:val="bottom"/>
            <w:hideMark/>
          </w:tcPr>
          <w:p w14:paraId="054B083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719,50</w:t>
            </w:r>
          </w:p>
        </w:tc>
        <w:tc>
          <w:tcPr>
            <w:tcW w:w="931" w:type="dxa"/>
            <w:tcBorders>
              <w:top w:val="nil"/>
              <w:left w:val="nil"/>
              <w:bottom w:val="single" w:sz="4" w:space="0" w:color="auto"/>
              <w:right w:val="single" w:sz="4" w:space="0" w:color="auto"/>
            </w:tcBorders>
            <w:shd w:val="clear" w:color="000000" w:fill="FFFFFF"/>
            <w:noWrap/>
            <w:vAlign w:val="bottom"/>
            <w:hideMark/>
          </w:tcPr>
          <w:p w14:paraId="2A86039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734,00</w:t>
            </w:r>
          </w:p>
        </w:tc>
        <w:tc>
          <w:tcPr>
            <w:tcW w:w="1219" w:type="dxa"/>
            <w:tcBorders>
              <w:top w:val="nil"/>
              <w:left w:val="nil"/>
              <w:bottom w:val="single" w:sz="4" w:space="0" w:color="auto"/>
              <w:right w:val="single" w:sz="4" w:space="0" w:color="auto"/>
            </w:tcBorders>
            <w:shd w:val="clear" w:color="000000" w:fill="FFFFFF"/>
            <w:noWrap/>
            <w:vAlign w:val="bottom"/>
            <w:hideMark/>
          </w:tcPr>
          <w:p w14:paraId="7245604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523,00</w:t>
            </w:r>
          </w:p>
        </w:tc>
        <w:tc>
          <w:tcPr>
            <w:tcW w:w="1075" w:type="dxa"/>
            <w:tcBorders>
              <w:top w:val="nil"/>
              <w:left w:val="nil"/>
              <w:bottom w:val="single" w:sz="4" w:space="0" w:color="auto"/>
              <w:right w:val="single" w:sz="4" w:space="0" w:color="auto"/>
            </w:tcBorders>
            <w:shd w:val="clear" w:color="000000" w:fill="FFFFFF"/>
            <w:noWrap/>
            <w:vAlign w:val="bottom"/>
            <w:hideMark/>
          </w:tcPr>
          <w:p w14:paraId="6A8B26C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351,00</w:t>
            </w:r>
          </w:p>
        </w:tc>
      </w:tr>
      <w:tr w:rsidR="002D4864" w:rsidRPr="00620F58" w14:paraId="65B4A49B"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15EBC2F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w:t>
            </w:r>
          </w:p>
        </w:tc>
        <w:tc>
          <w:tcPr>
            <w:tcW w:w="1845" w:type="dxa"/>
            <w:tcBorders>
              <w:top w:val="nil"/>
              <w:left w:val="nil"/>
              <w:bottom w:val="single" w:sz="4" w:space="0" w:color="auto"/>
              <w:right w:val="single" w:sz="4" w:space="0" w:color="auto"/>
            </w:tcBorders>
            <w:shd w:val="clear" w:color="F8CBAD" w:fill="FFFFFF"/>
            <w:noWrap/>
            <w:vAlign w:val="bottom"/>
            <w:hideMark/>
          </w:tcPr>
          <w:p w14:paraId="10A3B56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73722BC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Kasti</w:t>
            </w:r>
          </w:p>
        </w:tc>
        <w:tc>
          <w:tcPr>
            <w:tcW w:w="1075" w:type="dxa"/>
            <w:tcBorders>
              <w:top w:val="nil"/>
              <w:left w:val="nil"/>
              <w:bottom w:val="single" w:sz="4" w:space="0" w:color="auto"/>
              <w:right w:val="single" w:sz="4" w:space="0" w:color="auto"/>
            </w:tcBorders>
            <w:shd w:val="clear" w:color="F8CBAD" w:fill="FFFFFF"/>
            <w:noWrap/>
            <w:vAlign w:val="bottom"/>
            <w:hideMark/>
          </w:tcPr>
          <w:p w14:paraId="7E06F79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6C563F6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43CAB4D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689,40</w:t>
            </w:r>
          </w:p>
        </w:tc>
        <w:tc>
          <w:tcPr>
            <w:tcW w:w="1120" w:type="dxa"/>
            <w:tcBorders>
              <w:top w:val="nil"/>
              <w:left w:val="nil"/>
              <w:bottom w:val="single" w:sz="4" w:space="0" w:color="auto"/>
              <w:right w:val="single" w:sz="4" w:space="0" w:color="auto"/>
            </w:tcBorders>
            <w:shd w:val="clear" w:color="F8CBAD" w:fill="FFFFFF"/>
            <w:noWrap/>
            <w:vAlign w:val="bottom"/>
            <w:hideMark/>
          </w:tcPr>
          <w:p w14:paraId="5287BFD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w:t>
            </w:r>
          </w:p>
        </w:tc>
        <w:tc>
          <w:tcPr>
            <w:tcW w:w="931" w:type="dxa"/>
            <w:tcBorders>
              <w:top w:val="nil"/>
              <w:left w:val="nil"/>
              <w:bottom w:val="single" w:sz="4" w:space="0" w:color="auto"/>
              <w:right w:val="single" w:sz="4" w:space="0" w:color="auto"/>
            </w:tcBorders>
            <w:shd w:val="clear" w:color="F8CBAD" w:fill="FFFFFF"/>
            <w:noWrap/>
            <w:vAlign w:val="bottom"/>
            <w:hideMark/>
          </w:tcPr>
          <w:p w14:paraId="3CD890D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5B39AF9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4F114C9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0CE0102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E1BC76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w:t>
            </w:r>
          </w:p>
        </w:tc>
        <w:tc>
          <w:tcPr>
            <w:tcW w:w="1845" w:type="dxa"/>
            <w:tcBorders>
              <w:top w:val="nil"/>
              <w:left w:val="nil"/>
              <w:bottom w:val="single" w:sz="4" w:space="0" w:color="auto"/>
              <w:right w:val="single" w:sz="4" w:space="0" w:color="auto"/>
            </w:tcBorders>
            <w:shd w:val="clear" w:color="000000" w:fill="FFFFFF"/>
            <w:noWrap/>
            <w:vAlign w:val="bottom"/>
            <w:hideMark/>
          </w:tcPr>
          <w:p w14:paraId="6ABD358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7BC1D1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Kaugatoma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06B5D8E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157,50</w:t>
            </w:r>
          </w:p>
        </w:tc>
        <w:tc>
          <w:tcPr>
            <w:tcW w:w="1120" w:type="dxa"/>
            <w:tcBorders>
              <w:top w:val="nil"/>
              <w:left w:val="nil"/>
              <w:bottom w:val="single" w:sz="4" w:space="0" w:color="auto"/>
              <w:right w:val="single" w:sz="4" w:space="0" w:color="auto"/>
            </w:tcBorders>
            <w:shd w:val="clear" w:color="000000" w:fill="FFFFFF"/>
            <w:noWrap/>
            <w:vAlign w:val="bottom"/>
            <w:hideMark/>
          </w:tcPr>
          <w:p w14:paraId="094EB0A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522,50</w:t>
            </w:r>
          </w:p>
        </w:tc>
        <w:tc>
          <w:tcPr>
            <w:tcW w:w="1140" w:type="dxa"/>
            <w:tcBorders>
              <w:top w:val="nil"/>
              <w:left w:val="nil"/>
              <w:bottom w:val="single" w:sz="4" w:space="0" w:color="auto"/>
              <w:right w:val="single" w:sz="4" w:space="0" w:color="auto"/>
            </w:tcBorders>
            <w:shd w:val="clear" w:color="000000" w:fill="FFFFFF"/>
            <w:noWrap/>
            <w:vAlign w:val="bottom"/>
            <w:hideMark/>
          </w:tcPr>
          <w:p w14:paraId="2ADC640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367,00</w:t>
            </w:r>
          </w:p>
        </w:tc>
        <w:tc>
          <w:tcPr>
            <w:tcW w:w="1120" w:type="dxa"/>
            <w:tcBorders>
              <w:top w:val="nil"/>
              <w:left w:val="nil"/>
              <w:bottom w:val="single" w:sz="4" w:space="0" w:color="auto"/>
              <w:right w:val="single" w:sz="4" w:space="0" w:color="auto"/>
            </w:tcBorders>
            <w:shd w:val="clear" w:color="000000" w:fill="FFFFFF"/>
            <w:noWrap/>
            <w:vAlign w:val="bottom"/>
            <w:hideMark/>
          </w:tcPr>
          <w:p w14:paraId="63F6BE4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448,50</w:t>
            </w:r>
          </w:p>
        </w:tc>
        <w:tc>
          <w:tcPr>
            <w:tcW w:w="931" w:type="dxa"/>
            <w:tcBorders>
              <w:top w:val="nil"/>
              <w:left w:val="nil"/>
              <w:bottom w:val="single" w:sz="4" w:space="0" w:color="auto"/>
              <w:right w:val="single" w:sz="4" w:space="0" w:color="auto"/>
            </w:tcBorders>
            <w:shd w:val="clear" w:color="000000" w:fill="FFFFFF"/>
            <w:noWrap/>
            <w:vAlign w:val="bottom"/>
            <w:hideMark/>
          </w:tcPr>
          <w:p w14:paraId="0BEDAFA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410,00</w:t>
            </w:r>
          </w:p>
        </w:tc>
        <w:tc>
          <w:tcPr>
            <w:tcW w:w="1219" w:type="dxa"/>
            <w:tcBorders>
              <w:top w:val="nil"/>
              <w:left w:val="nil"/>
              <w:bottom w:val="single" w:sz="4" w:space="0" w:color="auto"/>
              <w:right w:val="single" w:sz="4" w:space="0" w:color="auto"/>
            </w:tcBorders>
            <w:shd w:val="clear" w:color="000000" w:fill="FFFFFF"/>
            <w:noWrap/>
            <w:vAlign w:val="bottom"/>
            <w:hideMark/>
          </w:tcPr>
          <w:p w14:paraId="3878BD6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254,80</w:t>
            </w:r>
          </w:p>
        </w:tc>
        <w:tc>
          <w:tcPr>
            <w:tcW w:w="1075" w:type="dxa"/>
            <w:tcBorders>
              <w:top w:val="nil"/>
              <w:left w:val="nil"/>
              <w:bottom w:val="single" w:sz="4" w:space="0" w:color="auto"/>
              <w:right w:val="single" w:sz="4" w:space="0" w:color="auto"/>
            </w:tcBorders>
            <w:shd w:val="clear" w:color="000000" w:fill="FFFFFF"/>
            <w:noWrap/>
            <w:vAlign w:val="bottom"/>
            <w:hideMark/>
          </w:tcPr>
          <w:p w14:paraId="0B06546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143,30</w:t>
            </w:r>
          </w:p>
        </w:tc>
      </w:tr>
      <w:tr w:rsidR="002D4864" w:rsidRPr="00620F58" w14:paraId="64D44742"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AD7F51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w:t>
            </w:r>
          </w:p>
        </w:tc>
        <w:tc>
          <w:tcPr>
            <w:tcW w:w="1845" w:type="dxa"/>
            <w:tcBorders>
              <w:top w:val="nil"/>
              <w:left w:val="nil"/>
              <w:bottom w:val="single" w:sz="4" w:space="0" w:color="auto"/>
              <w:right w:val="single" w:sz="4" w:space="0" w:color="auto"/>
            </w:tcBorders>
            <w:shd w:val="clear" w:color="000000" w:fill="FFFFFF"/>
            <w:noWrap/>
            <w:vAlign w:val="bottom"/>
            <w:hideMark/>
          </w:tcPr>
          <w:p w14:paraId="19E16BA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77EC0E1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Kaunispe</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5E6083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27768,90</w:t>
            </w:r>
          </w:p>
        </w:tc>
        <w:tc>
          <w:tcPr>
            <w:tcW w:w="1120" w:type="dxa"/>
            <w:tcBorders>
              <w:top w:val="nil"/>
              <w:left w:val="nil"/>
              <w:bottom w:val="single" w:sz="4" w:space="0" w:color="auto"/>
              <w:right w:val="single" w:sz="4" w:space="0" w:color="auto"/>
            </w:tcBorders>
            <w:shd w:val="clear" w:color="000000" w:fill="FFFFFF"/>
            <w:noWrap/>
            <w:vAlign w:val="bottom"/>
            <w:hideMark/>
          </w:tcPr>
          <w:p w14:paraId="54D6CB5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21054,60</w:t>
            </w:r>
          </w:p>
        </w:tc>
        <w:tc>
          <w:tcPr>
            <w:tcW w:w="1140" w:type="dxa"/>
            <w:tcBorders>
              <w:top w:val="nil"/>
              <w:left w:val="nil"/>
              <w:bottom w:val="single" w:sz="4" w:space="0" w:color="auto"/>
              <w:right w:val="single" w:sz="4" w:space="0" w:color="auto"/>
            </w:tcBorders>
            <w:shd w:val="clear" w:color="000000" w:fill="FFFFFF"/>
            <w:noWrap/>
            <w:vAlign w:val="bottom"/>
            <w:hideMark/>
          </w:tcPr>
          <w:p w14:paraId="4F430DB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5320,10</w:t>
            </w:r>
          </w:p>
        </w:tc>
        <w:tc>
          <w:tcPr>
            <w:tcW w:w="1120" w:type="dxa"/>
            <w:tcBorders>
              <w:top w:val="nil"/>
              <w:left w:val="nil"/>
              <w:bottom w:val="single" w:sz="4" w:space="0" w:color="auto"/>
              <w:right w:val="single" w:sz="4" w:space="0" w:color="auto"/>
            </w:tcBorders>
            <w:shd w:val="clear" w:color="000000" w:fill="FFFFFF"/>
            <w:noWrap/>
            <w:vAlign w:val="bottom"/>
            <w:hideMark/>
          </w:tcPr>
          <w:p w14:paraId="5A71E1C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4277,90</w:t>
            </w:r>
          </w:p>
        </w:tc>
        <w:tc>
          <w:tcPr>
            <w:tcW w:w="931" w:type="dxa"/>
            <w:tcBorders>
              <w:top w:val="nil"/>
              <w:left w:val="nil"/>
              <w:bottom w:val="single" w:sz="4" w:space="0" w:color="auto"/>
              <w:right w:val="single" w:sz="4" w:space="0" w:color="auto"/>
            </w:tcBorders>
            <w:shd w:val="clear" w:color="000000" w:fill="FFFFFF"/>
            <w:noWrap/>
            <w:vAlign w:val="bottom"/>
            <w:hideMark/>
          </w:tcPr>
          <w:p w14:paraId="5DF0316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6132,00</w:t>
            </w:r>
          </w:p>
        </w:tc>
        <w:tc>
          <w:tcPr>
            <w:tcW w:w="1219" w:type="dxa"/>
            <w:tcBorders>
              <w:top w:val="nil"/>
              <w:left w:val="nil"/>
              <w:bottom w:val="single" w:sz="4" w:space="0" w:color="auto"/>
              <w:right w:val="single" w:sz="4" w:space="0" w:color="auto"/>
            </w:tcBorders>
            <w:shd w:val="clear" w:color="000000" w:fill="FFFFFF"/>
            <w:noWrap/>
            <w:vAlign w:val="bottom"/>
            <w:hideMark/>
          </w:tcPr>
          <w:p w14:paraId="62A4955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444,45</w:t>
            </w:r>
          </w:p>
        </w:tc>
        <w:tc>
          <w:tcPr>
            <w:tcW w:w="1075" w:type="dxa"/>
            <w:tcBorders>
              <w:top w:val="nil"/>
              <w:left w:val="nil"/>
              <w:bottom w:val="single" w:sz="4" w:space="0" w:color="auto"/>
              <w:right w:val="single" w:sz="4" w:space="0" w:color="auto"/>
            </w:tcBorders>
            <w:shd w:val="clear" w:color="000000" w:fill="FFFFFF"/>
            <w:noWrap/>
            <w:vAlign w:val="bottom"/>
            <w:hideMark/>
          </w:tcPr>
          <w:p w14:paraId="5F01D84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2217,60</w:t>
            </w:r>
          </w:p>
        </w:tc>
      </w:tr>
      <w:tr w:rsidR="002D4864" w:rsidRPr="00620F58" w14:paraId="756D0960"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3EBE92C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w:t>
            </w:r>
          </w:p>
        </w:tc>
        <w:tc>
          <w:tcPr>
            <w:tcW w:w="1845" w:type="dxa"/>
            <w:tcBorders>
              <w:top w:val="nil"/>
              <w:left w:val="nil"/>
              <w:bottom w:val="single" w:sz="4" w:space="0" w:color="auto"/>
              <w:right w:val="single" w:sz="4" w:space="0" w:color="auto"/>
            </w:tcBorders>
            <w:shd w:val="clear" w:color="F8CBAD" w:fill="FFFFFF"/>
            <w:noWrap/>
            <w:vAlign w:val="bottom"/>
            <w:hideMark/>
          </w:tcPr>
          <w:p w14:paraId="3011DA6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37F4496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Kehila</w:t>
            </w:r>
            <w:proofErr w:type="spellEnd"/>
          </w:p>
        </w:tc>
        <w:tc>
          <w:tcPr>
            <w:tcW w:w="1075" w:type="dxa"/>
            <w:tcBorders>
              <w:top w:val="nil"/>
              <w:left w:val="nil"/>
              <w:bottom w:val="single" w:sz="4" w:space="0" w:color="auto"/>
              <w:right w:val="single" w:sz="4" w:space="0" w:color="auto"/>
            </w:tcBorders>
            <w:shd w:val="clear" w:color="F8CBAD" w:fill="FFFFFF"/>
            <w:noWrap/>
            <w:vAlign w:val="bottom"/>
            <w:hideMark/>
          </w:tcPr>
          <w:p w14:paraId="31B1DAA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F1DFC6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0C68DD0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2DF5093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2C6EBC5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17,00</w:t>
            </w:r>
          </w:p>
        </w:tc>
        <w:tc>
          <w:tcPr>
            <w:tcW w:w="1219" w:type="dxa"/>
            <w:tcBorders>
              <w:top w:val="nil"/>
              <w:left w:val="nil"/>
              <w:bottom w:val="single" w:sz="4" w:space="0" w:color="auto"/>
              <w:right w:val="single" w:sz="4" w:space="0" w:color="auto"/>
            </w:tcBorders>
            <w:shd w:val="clear" w:color="F8CBAD" w:fill="FFFFFF"/>
            <w:noWrap/>
            <w:vAlign w:val="bottom"/>
            <w:hideMark/>
          </w:tcPr>
          <w:p w14:paraId="2F3B8AF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54,00</w:t>
            </w:r>
          </w:p>
        </w:tc>
        <w:tc>
          <w:tcPr>
            <w:tcW w:w="1075" w:type="dxa"/>
            <w:tcBorders>
              <w:top w:val="nil"/>
              <w:left w:val="nil"/>
              <w:bottom w:val="single" w:sz="4" w:space="0" w:color="auto"/>
              <w:right w:val="single" w:sz="4" w:space="0" w:color="auto"/>
            </w:tcBorders>
            <w:shd w:val="clear" w:color="F8CBAD" w:fill="FFFFFF"/>
            <w:noWrap/>
            <w:vAlign w:val="bottom"/>
            <w:hideMark/>
          </w:tcPr>
          <w:p w14:paraId="1A4F75F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72,00</w:t>
            </w:r>
          </w:p>
        </w:tc>
      </w:tr>
      <w:tr w:rsidR="002D4864" w:rsidRPr="00620F58" w14:paraId="760F7D2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30D8BC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w:t>
            </w:r>
          </w:p>
        </w:tc>
        <w:tc>
          <w:tcPr>
            <w:tcW w:w="1845" w:type="dxa"/>
            <w:tcBorders>
              <w:top w:val="nil"/>
              <w:left w:val="nil"/>
              <w:bottom w:val="single" w:sz="4" w:space="0" w:color="auto"/>
              <w:right w:val="single" w:sz="4" w:space="0" w:color="auto"/>
            </w:tcBorders>
            <w:shd w:val="clear" w:color="000000" w:fill="FFFFFF"/>
            <w:noWrap/>
            <w:vAlign w:val="bottom"/>
            <w:hideMark/>
          </w:tcPr>
          <w:p w14:paraId="69B749E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79ACDD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Kesknõmme</w:t>
            </w:r>
            <w:proofErr w:type="spellEnd"/>
            <w:r w:rsidRPr="002D4864">
              <w:rPr>
                <w:rFonts w:ascii="Times New Roman" w:eastAsia="Times New Roman" w:hAnsi="Times New Roman" w:cs="Times New Roman"/>
                <w:color w:val="000000"/>
                <w:sz w:val="22"/>
                <w:szCs w:val="22"/>
              </w:rPr>
              <w:t xml:space="preserve"> jahisadam</w:t>
            </w:r>
          </w:p>
        </w:tc>
        <w:tc>
          <w:tcPr>
            <w:tcW w:w="1075" w:type="dxa"/>
            <w:tcBorders>
              <w:top w:val="nil"/>
              <w:left w:val="nil"/>
              <w:bottom w:val="single" w:sz="4" w:space="0" w:color="auto"/>
              <w:right w:val="single" w:sz="4" w:space="0" w:color="auto"/>
            </w:tcBorders>
            <w:shd w:val="clear" w:color="000000" w:fill="FFFFFF"/>
            <w:noWrap/>
            <w:vAlign w:val="bottom"/>
            <w:hideMark/>
          </w:tcPr>
          <w:p w14:paraId="48D8011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1186,00</w:t>
            </w:r>
          </w:p>
        </w:tc>
        <w:tc>
          <w:tcPr>
            <w:tcW w:w="1120" w:type="dxa"/>
            <w:tcBorders>
              <w:top w:val="nil"/>
              <w:left w:val="nil"/>
              <w:bottom w:val="single" w:sz="4" w:space="0" w:color="auto"/>
              <w:right w:val="single" w:sz="4" w:space="0" w:color="auto"/>
            </w:tcBorders>
            <w:shd w:val="clear" w:color="000000" w:fill="FFFFFF"/>
            <w:noWrap/>
            <w:vAlign w:val="bottom"/>
            <w:hideMark/>
          </w:tcPr>
          <w:p w14:paraId="21AF4BA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667,00</w:t>
            </w:r>
          </w:p>
        </w:tc>
        <w:tc>
          <w:tcPr>
            <w:tcW w:w="1140" w:type="dxa"/>
            <w:tcBorders>
              <w:top w:val="nil"/>
              <w:left w:val="nil"/>
              <w:bottom w:val="single" w:sz="4" w:space="0" w:color="auto"/>
              <w:right w:val="single" w:sz="4" w:space="0" w:color="auto"/>
            </w:tcBorders>
            <w:shd w:val="clear" w:color="000000" w:fill="FFFFFF"/>
            <w:noWrap/>
            <w:vAlign w:val="bottom"/>
            <w:hideMark/>
          </w:tcPr>
          <w:p w14:paraId="5CF59C7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496,00</w:t>
            </w:r>
          </w:p>
        </w:tc>
        <w:tc>
          <w:tcPr>
            <w:tcW w:w="1120" w:type="dxa"/>
            <w:tcBorders>
              <w:top w:val="nil"/>
              <w:left w:val="nil"/>
              <w:bottom w:val="single" w:sz="4" w:space="0" w:color="auto"/>
              <w:right w:val="single" w:sz="4" w:space="0" w:color="auto"/>
            </w:tcBorders>
            <w:shd w:val="clear" w:color="000000" w:fill="FFFFFF"/>
            <w:noWrap/>
            <w:vAlign w:val="bottom"/>
            <w:hideMark/>
          </w:tcPr>
          <w:p w14:paraId="5580121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1426,00</w:t>
            </w:r>
          </w:p>
        </w:tc>
        <w:tc>
          <w:tcPr>
            <w:tcW w:w="931" w:type="dxa"/>
            <w:tcBorders>
              <w:top w:val="nil"/>
              <w:left w:val="nil"/>
              <w:bottom w:val="single" w:sz="4" w:space="0" w:color="auto"/>
              <w:right w:val="single" w:sz="4" w:space="0" w:color="auto"/>
            </w:tcBorders>
            <w:shd w:val="clear" w:color="000000" w:fill="FFFFFF"/>
            <w:noWrap/>
            <w:vAlign w:val="bottom"/>
            <w:hideMark/>
          </w:tcPr>
          <w:p w14:paraId="2D42D12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419,00</w:t>
            </w:r>
          </w:p>
        </w:tc>
        <w:tc>
          <w:tcPr>
            <w:tcW w:w="1219" w:type="dxa"/>
            <w:tcBorders>
              <w:top w:val="nil"/>
              <w:left w:val="nil"/>
              <w:bottom w:val="single" w:sz="4" w:space="0" w:color="auto"/>
              <w:right w:val="single" w:sz="4" w:space="0" w:color="auto"/>
            </w:tcBorders>
            <w:shd w:val="clear" w:color="000000" w:fill="FFFFFF"/>
            <w:noWrap/>
            <w:vAlign w:val="bottom"/>
            <w:hideMark/>
          </w:tcPr>
          <w:p w14:paraId="775F767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17,00</w:t>
            </w:r>
          </w:p>
        </w:tc>
        <w:tc>
          <w:tcPr>
            <w:tcW w:w="1075" w:type="dxa"/>
            <w:tcBorders>
              <w:top w:val="nil"/>
              <w:left w:val="nil"/>
              <w:bottom w:val="single" w:sz="4" w:space="0" w:color="auto"/>
              <w:right w:val="single" w:sz="4" w:space="0" w:color="auto"/>
            </w:tcBorders>
            <w:shd w:val="clear" w:color="000000" w:fill="FFFFFF"/>
            <w:noWrap/>
            <w:vAlign w:val="bottom"/>
            <w:hideMark/>
          </w:tcPr>
          <w:p w14:paraId="2451ED7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80,50</w:t>
            </w:r>
          </w:p>
        </w:tc>
      </w:tr>
      <w:tr w:rsidR="002D4864" w:rsidRPr="00620F58" w14:paraId="0DD6E7A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B40AD8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w:t>
            </w:r>
          </w:p>
        </w:tc>
        <w:tc>
          <w:tcPr>
            <w:tcW w:w="1845" w:type="dxa"/>
            <w:tcBorders>
              <w:top w:val="nil"/>
              <w:left w:val="nil"/>
              <w:bottom w:val="single" w:sz="4" w:space="0" w:color="auto"/>
              <w:right w:val="single" w:sz="4" w:space="0" w:color="auto"/>
            </w:tcBorders>
            <w:shd w:val="clear" w:color="000000" w:fill="FFFFFF"/>
            <w:noWrap/>
            <w:vAlign w:val="bottom"/>
            <w:hideMark/>
          </w:tcPr>
          <w:p w14:paraId="0B4E4A7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58CA8E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Keskranna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10396E2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0644ABA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56,60</w:t>
            </w:r>
          </w:p>
        </w:tc>
        <w:tc>
          <w:tcPr>
            <w:tcW w:w="1140" w:type="dxa"/>
            <w:tcBorders>
              <w:top w:val="nil"/>
              <w:left w:val="nil"/>
              <w:bottom w:val="single" w:sz="4" w:space="0" w:color="auto"/>
              <w:right w:val="single" w:sz="4" w:space="0" w:color="auto"/>
            </w:tcBorders>
            <w:shd w:val="clear" w:color="000000" w:fill="FFFFFF"/>
            <w:noWrap/>
            <w:vAlign w:val="bottom"/>
            <w:hideMark/>
          </w:tcPr>
          <w:p w14:paraId="1379464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61,80</w:t>
            </w:r>
          </w:p>
        </w:tc>
        <w:tc>
          <w:tcPr>
            <w:tcW w:w="1120" w:type="dxa"/>
            <w:tcBorders>
              <w:top w:val="nil"/>
              <w:left w:val="nil"/>
              <w:bottom w:val="single" w:sz="4" w:space="0" w:color="auto"/>
              <w:right w:val="single" w:sz="4" w:space="0" w:color="auto"/>
            </w:tcBorders>
            <w:shd w:val="clear" w:color="000000" w:fill="FFFFFF"/>
            <w:noWrap/>
            <w:vAlign w:val="bottom"/>
            <w:hideMark/>
          </w:tcPr>
          <w:p w14:paraId="2E8A2F9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206,20</w:t>
            </w:r>
          </w:p>
        </w:tc>
        <w:tc>
          <w:tcPr>
            <w:tcW w:w="931" w:type="dxa"/>
            <w:tcBorders>
              <w:top w:val="nil"/>
              <w:left w:val="nil"/>
              <w:bottom w:val="single" w:sz="4" w:space="0" w:color="auto"/>
              <w:right w:val="single" w:sz="4" w:space="0" w:color="auto"/>
            </w:tcBorders>
            <w:shd w:val="clear" w:color="000000" w:fill="FFFFFF"/>
            <w:noWrap/>
            <w:vAlign w:val="bottom"/>
            <w:hideMark/>
          </w:tcPr>
          <w:p w14:paraId="0650A23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144,00</w:t>
            </w:r>
          </w:p>
        </w:tc>
        <w:tc>
          <w:tcPr>
            <w:tcW w:w="1219" w:type="dxa"/>
            <w:tcBorders>
              <w:top w:val="nil"/>
              <w:left w:val="nil"/>
              <w:bottom w:val="single" w:sz="4" w:space="0" w:color="auto"/>
              <w:right w:val="single" w:sz="4" w:space="0" w:color="auto"/>
            </w:tcBorders>
            <w:shd w:val="clear" w:color="000000" w:fill="FFFFFF"/>
            <w:noWrap/>
            <w:vAlign w:val="bottom"/>
            <w:hideMark/>
          </w:tcPr>
          <w:p w14:paraId="5E6C53E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8,20</w:t>
            </w:r>
          </w:p>
        </w:tc>
        <w:tc>
          <w:tcPr>
            <w:tcW w:w="1075" w:type="dxa"/>
            <w:tcBorders>
              <w:top w:val="nil"/>
              <w:left w:val="nil"/>
              <w:bottom w:val="single" w:sz="4" w:space="0" w:color="auto"/>
              <w:right w:val="single" w:sz="4" w:space="0" w:color="auto"/>
            </w:tcBorders>
            <w:shd w:val="clear" w:color="000000" w:fill="FFFFFF"/>
            <w:noWrap/>
            <w:vAlign w:val="bottom"/>
            <w:hideMark/>
          </w:tcPr>
          <w:p w14:paraId="7CDB8DA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16,40</w:t>
            </w:r>
          </w:p>
        </w:tc>
      </w:tr>
      <w:tr w:rsidR="002D4864" w:rsidRPr="00620F58" w14:paraId="11E695DE"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08811E4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w:t>
            </w:r>
          </w:p>
        </w:tc>
        <w:tc>
          <w:tcPr>
            <w:tcW w:w="1845" w:type="dxa"/>
            <w:tcBorders>
              <w:top w:val="nil"/>
              <w:left w:val="nil"/>
              <w:bottom w:val="single" w:sz="4" w:space="0" w:color="auto"/>
              <w:right w:val="single" w:sz="4" w:space="0" w:color="auto"/>
            </w:tcBorders>
            <w:shd w:val="clear" w:color="F8CBAD" w:fill="FFFFFF"/>
            <w:noWrap/>
            <w:vAlign w:val="bottom"/>
            <w:hideMark/>
          </w:tcPr>
          <w:p w14:paraId="5C7336E6"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4B0DFCBB"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Kihelkonna</w:t>
            </w:r>
          </w:p>
        </w:tc>
        <w:tc>
          <w:tcPr>
            <w:tcW w:w="1075" w:type="dxa"/>
            <w:tcBorders>
              <w:top w:val="nil"/>
              <w:left w:val="nil"/>
              <w:bottom w:val="single" w:sz="4" w:space="0" w:color="auto"/>
              <w:right w:val="single" w:sz="4" w:space="0" w:color="auto"/>
            </w:tcBorders>
            <w:shd w:val="clear" w:color="F8CBAD" w:fill="FFFFFF"/>
            <w:noWrap/>
            <w:vAlign w:val="bottom"/>
            <w:hideMark/>
          </w:tcPr>
          <w:p w14:paraId="72A57057"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8,00</w:t>
            </w:r>
          </w:p>
        </w:tc>
        <w:tc>
          <w:tcPr>
            <w:tcW w:w="1120" w:type="dxa"/>
            <w:tcBorders>
              <w:top w:val="nil"/>
              <w:left w:val="nil"/>
              <w:bottom w:val="single" w:sz="4" w:space="0" w:color="auto"/>
              <w:right w:val="single" w:sz="4" w:space="0" w:color="auto"/>
            </w:tcBorders>
            <w:shd w:val="clear" w:color="F8CBAD" w:fill="FFFFFF"/>
            <w:noWrap/>
            <w:vAlign w:val="bottom"/>
            <w:hideMark/>
          </w:tcPr>
          <w:p w14:paraId="4FD3B4B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07C894B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34FF02B5"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28,00</w:t>
            </w:r>
          </w:p>
        </w:tc>
        <w:tc>
          <w:tcPr>
            <w:tcW w:w="931" w:type="dxa"/>
            <w:tcBorders>
              <w:top w:val="nil"/>
              <w:left w:val="nil"/>
              <w:bottom w:val="single" w:sz="4" w:space="0" w:color="auto"/>
              <w:right w:val="single" w:sz="4" w:space="0" w:color="auto"/>
            </w:tcBorders>
            <w:shd w:val="clear" w:color="F8CBAD" w:fill="FFFFFF"/>
            <w:noWrap/>
            <w:vAlign w:val="bottom"/>
            <w:hideMark/>
          </w:tcPr>
          <w:p w14:paraId="3617B0BF"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3,00</w:t>
            </w:r>
          </w:p>
        </w:tc>
        <w:tc>
          <w:tcPr>
            <w:tcW w:w="1219" w:type="dxa"/>
            <w:tcBorders>
              <w:top w:val="nil"/>
              <w:left w:val="nil"/>
              <w:bottom w:val="single" w:sz="4" w:space="0" w:color="auto"/>
              <w:right w:val="single" w:sz="4" w:space="0" w:color="auto"/>
            </w:tcBorders>
            <w:shd w:val="clear" w:color="F8CBAD" w:fill="FFFFFF"/>
            <w:noWrap/>
            <w:vAlign w:val="bottom"/>
            <w:hideMark/>
          </w:tcPr>
          <w:p w14:paraId="45E464C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65FC0F5F"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3A86875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6101DC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w:t>
            </w:r>
          </w:p>
        </w:tc>
        <w:tc>
          <w:tcPr>
            <w:tcW w:w="1845" w:type="dxa"/>
            <w:tcBorders>
              <w:top w:val="nil"/>
              <w:left w:val="nil"/>
              <w:bottom w:val="single" w:sz="4" w:space="0" w:color="auto"/>
              <w:right w:val="single" w:sz="4" w:space="0" w:color="auto"/>
            </w:tcBorders>
            <w:shd w:val="clear" w:color="000000" w:fill="FFFFFF"/>
            <w:noWrap/>
            <w:vAlign w:val="bottom"/>
            <w:hideMark/>
          </w:tcPr>
          <w:p w14:paraId="4352EA4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EF28C3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Kiirassaare</w:t>
            </w:r>
          </w:p>
        </w:tc>
        <w:tc>
          <w:tcPr>
            <w:tcW w:w="1075" w:type="dxa"/>
            <w:tcBorders>
              <w:top w:val="nil"/>
              <w:left w:val="nil"/>
              <w:bottom w:val="single" w:sz="4" w:space="0" w:color="auto"/>
              <w:right w:val="single" w:sz="4" w:space="0" w:color="auto"/>
            </w:tcBorders>
            <w:shd w:val="clear" w:color="000000" w:fill="FFFFFF"/>
            <w:noWrap/>
            <w:vAlign w:val="bottom"/>
            <w:hideMark/>
          </w:tcPr>
          <w:p w14:paraId="19FA25C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196,00</w:t>
            </w:r>
          </w:p>
        </w:tc>
        <w:tc>
          <w:tcPr>
            <w:tcW w:w="1120" w:type="dxa"/>
            <w:tcBorders>
              <w:top w:val="nil"/>
              <w:left w:val="nil"/>
              <w:bottom w:val="single" w:sz="4" w:space="0" w:color="auto"/>
              <w:right w:val="single" w:sz="4" w:space="0" w:color="auto"/>
            </w:tcBorders>
            <w:shd w:val="clear" w:color="000000" w:fill="FFFFFF"/>
            <w:noWrap/>
            <w:vAlign w:val="bottom"/>
            <w:hideMark/>
          </w:tcPr>
          <w:p w14:paraId="2C88DAB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103,00</w:t>
            </w:r>
          </w:p>
        </w:tc>
        <w:tc>
          <w:tcPr>
            <w:tcW w:w="1140" w:type="dxa"/>
            <w:tcBorders>
              <w:top w:val="nil"/>
              <w:left w:val="nil"/>
              <w:bottom w:val="single" w:sz="4" w:space="0" w:color="auto"/>
              <w:right w:val="single" w:sz="4" w:space="0" w:color="auto"/>
            </w:tcBorders>
            <w:shd w:val="clear" w:color="000000" w:fill="FFFFFF"/>
            <w:noWrap/>
            <w:vAlign w:val="bottom"/>
            <w:hideMark/>
          </w:tcPr>
          <w:p w14:paraId="193AEBD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132,00</w:t>
            </w:r>
          </w:p>
        </w:tc>
        <w:tc>
          <w:tcPr>
            <w:tcW w:w="1120" w:type="dxa"/>
            <w:tcBorders>
              <w:top w:val="nil"/>
              <w:left w:val="nil"/>
              <w:bottom w:val="single" w:sz="4" w:space="0" w:color="auto"/>
              <w:right w:val="single" w:sz="4" w:space="0" w:color="auto"/>
            </w:tcBorders>
            <w:shd w:val="clear" w:color="000000" w:fill="FFFFFF"/>
            <w:noWrap/>
            <w:vAlign w:val="bottom"/>
            <w:hideMark/>
          </w:tcPr>
          <w:p w14:paraId="047605F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231,50</w:t>
            </w:r>
          </w:p>
        </w:tc>
        <w:tc>
          <w:tcPr>
            <w:tcW w:w="931" w:type="dxa"/>
            <w:tcBorders>
              <w:top w:val="nil"/>
              <w:left w:val="nil"/>
              <w:bottom w:val="single" w:sz="4" w:space="0" w:color="auto"/>
              <w:right w:val="single" w:sz="4" w:space="0" w:color="auto"/>
            </w:tcBorders>
            <w:shd w:val="clear" w:color="000000" w:fill="FFFFFF"/>
            <w:noWrap/>
            <w:vAlign w:val="bottom"/>
            <w:hideMark/>
          </w:tcPr>
          <w:p w14:paraId="3ECEFE4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226,00</w:t>
            </w:r>
          </w:p>
        </w:tc>
        <w:tc>
          <w:tcPr>
            <w:tcW w:w="1219" w:type="dxa"/>
            <w:tcBorders>
              <w:top w:val="nil"/>
              <w:left w:val="nil"/>
              <w:bottom w:val="single" w:sz="4" w:space="0" w:color="auto"/>
              <w:right w:val="single" w:sz="4" w:space="0" w:color="auto"/>
            </w:tcBorders>
            <w:shd w:val="clear" w:color="000000" w:fill="FFFFFF"/>
            <w:noWrap/>
            <w:vAlign w:val="bottom"/>
            <w:hideMark/>
          </w:tcPr>
          <w:p w14:paraId="25FD390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74,00</w:t>
            </w:r>
          </w:p>
        </w:tc>
        <w:tc>
          <w:tcPr>
            <w:tcW w:w="1075" w:type="dxa"/>
            <w:tcBorders>
              <w:top w:val="nil"/>
              <w:left w:val="nil"/>
              <w:bottom w:val="single" w:sz="4" w:space="0" w:color="auto"/>
              <w:right w:val="single" w:sz="4" w:space="0" w:color="auto"/>
            </w:tcBorders>
            <w:shd w:val="clear" w:color="000000" w:fill="FFFFFF"/>
            <w:noWrap/>
            <w:vAlign w:val="bottom"/>
            <w:hideMark/>
          </w:tcPr>
          <w:p w14:paraId="7E811EC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62,00</w:t>
            </w:r>
          </w:p>
        </w:tc>
      </w:tr>
      <w:tr w:rsidR="002D4864" w:rsidRPr="00620F58" w14:paraId="1AD9F396"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60306B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w:t>
            </w:r>
          </w:p>
        </w:tc>
        <w:tc>
          <w:tcPr>
            <w:tcW w:w="1845" w:type="dxa"/>
            <w:tcBorders>
              <w:top w:val="nil"/>
              <w:left w:val="nil"/>
              <w:bottom w:val="single" w:sz="4" w:space="0" w:color="auto"/>
              <w:right w:val="single" w:sz="4" w:space="0" w:color="auto"/>
            </w:tcBorders>
            <w:shd w:val="clear" w:color="000000" w:fill="FFFFFF"/>
            <w:noWrap/>
            <w:vAlign w:val="bottom"/>
            <w:hideMark/>
          </w:tcPr>
          <w:p w14:paraId="4D25B32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A57F2F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 xml:space="preserve">Kirderanna </w:t>
            </w:r>
          </w:p>
        </w:tc>
        <w:tc>
          <w:tcPr>
            <w:tcW w:w="1075" w:type="dxa"/>
            <w:tcBorders>
              <w:top w:val="nil"/>
              <w:left w:val="nil"/>
              <w:bottom w:val="single" w:sz="4" w:space="0" w:color="auto"/>
              <w:right w:val="single" w:sz="4" w:space="0" w:color="auto"/>
            </w:tcBorders>
            <w:shd w:val="clear" w:color="000000" w:fill="FFFFFF"/>
            <w:noWrap/>
            <w:vAlign w:val="bottom"/>
            <w:hideMark/>
          </w:tcPr>
          <w:p w14:paraId="5B10758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21796B5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4A171A3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382,00</w:t>
            </w:r>
          </w:p>
        </w:tc>
        <w:tc>
          <w:tcPr>
            <w:tcW w:w="1120" w:type="dxa"/>
            <w:tcBorders>
              <w:top w:val="nil"/>
              <w:left w:val="nil"/>
              <w:bottom w:val="single" w:sz="4" w:space="0" w:color="auto"/>
              <w:right w:val="single" w:sz="4" w:space="0" w:color="auto"/>
            </w:tcBorders>
            <w:shd w:val="clear" w:color="000000" w:fill="FFFFFF"/>
            <w:noWrap/>
            <w:vAlign w:val="bottom"/>
            <w:hideMark/>
          </w:tcPr>
          <w:p w14:paraId="7356236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c>
          <w:tcPr>
            <w:tcW w:w="931" w:type="dxa"/>
            <w:tcBorders>
              <w:top w:val="nil"/>
              <w:left w:val="nil"/>
              <w:bottom w:val="single" w:sz="4" w:space="0" w:color="auto"/>
              <w:right w:val="single" w:sz="4" w:space="0" w:color="auto"/>
            </w:tcBorders>
            <w:shd w:val="clear" w:color="000000" w:fill="FFFFFF"/>
            <w:noWrap/>
            <w:vAlign w:val="bottom"/>
            <w:hideMark/>
          </w:tcPr>
          <w:p w14:paraId="4A99C5D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245,00</w:t>
            </w:r>
          </w:p>
        </w:tc>
        <w:tc>
          <w:tcPr>
            <w:tcW w:w="1219" w:type="dxa"/>
            <w:tcBorders>
              <w:top w:val="nil"/>
              <w:left w:val="nil"/>
              <w:bottom w:val="single" w:sz="4" w:space="0" w:color="auto"/>
              <w:right w:val="single" w:sz="4" w:space="0" w:color="auto"/>
            </w:tcBorders>
            <w:shd w:val="clear" w:color="000000" w:fill="FFFFFF"/>
            <w:noWrap/>
            <w:vAlign w:val="bottom"/>
            <w:hideMark/>
          </w:tcPr>
          <w:p w14:paraId="0847C09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435,00</w:t>
            </w:r>
          </w:p>
        </w:tc>
        <w:tc>
          <w:tcPr>
            <w:tcW w:w="1075" w:type="dxa"/>
            <w:tcBorders>
              <w:top w:val="nil"/>
              <w:left w:val="nil"/>
              <w:bottom w:val="single" w:sz="4" w:space="0" w:color="auto"/>
              <w:right w:val="single" w:sz="4" w:space="0" w:color="auto"/>
            </w:tcBorders>
            <w:shd w:val="clear" w:color="000000" w:fill="FFFFFF"/>
            <w:noWrap/>
            <w:vAlign w:val="bottom"/>
            <w:hideMark/>
          </w:tcPr>
          <w:p w14:paraId="43B53C5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642,00</w:t>
            </w:r>
          </w:p>
        </w:tc>
      </w:tr>
      <w:tr w:rsidR="002D4864" w:rsidRPr="00620F58" w14:paraId="3904588C"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6628AA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w:t>
            </w:r>
          </w:p>
        </w:tc>
        <w:tc>
          <w:tcPr>
            <w:tcW w:w="1845" w:type="dxa"/>
            <w:tcBorders>
              <w:top w:val="nil"/>
              <w:left w:val="nil"/>
              <w:bottom w:val="single" w:sz="4" w:space="0" w:color="auto"/>
              <w:right w:val="single" w:sz="4" w:space="0" w:color="auto"/>
            </w:tcBorders>
            <w:shd w:val="clear" w:color="000000" w:fill="FFFFFF"/>
            <w:noWrap/>
            <w:vAlign w:val="bottom"/>
            <w:hideMark/>
          </w:tcPr>
          <w:p w14:paraId="7D6CDA6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40305F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Kirderanna paadisadam</w:t>
            </w:r>
          </w:p>
        </w:tc>
        <w:tc>
          <w:tcPr>
            <w:tcW w:w="1075" w:type="dxa"/>
            <w:tcBorders>
              <w:top w:val="nil"/>
              <w:left w:val="nil"/>
              <w:bottom w:val="single" w:sz="4" w:space="0" w:color="auto"/>
              <w:right w:val="single" w:sz="4" w:space="0" w:color="auto"/>
            </w:tcBorders>
            <w:shd w:val="clear" w:color="000000" w:fill="FFFFFF"/>
            <w:noWrap/>
            <w:vAlign w:val="bottom"/>
            <w:hideMark/>
          </w:tcPr>
          <w:p w14:paraId="1309CF3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7A5E768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14F6BA5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w:t>
            </w:r>
          </w:p>
        </w:tc>
        <w:tc>
          <w:tcPr>
            <w:tcW w:w="1120" w:type="dxa"/>
            <w:tcBorders>
              <w:top w:val="nil"/>
              <w:left w:val="nil"/>
              <w:bottom w:val="single" w:sz="4" w:space="0" w:color="auto"/>
              <w:right w:val="single" w:sz="4" w:space="0" w:color="auto"/>
            </w:tcBorders>
            <w:shd w:val="clear" w:color="000000" w:fill="FFFFFF"/>
            <w:noWrap/>
            <w:vAlign w:val="bottom"/>
            <w:hideMark/>
          </w:tcPr>
          <w:p w14:paraId="5857819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65,00</w:t>
            </w:r>
          </w:p>
        </w:tc>
        <w:tc>
          <w:tcPr>
            <w:tcW w:w="931" w:type="dxa"/>
            <w:tcBorders>
              <w:top w:val="nil"/>
              <w:left w:val="nil"/>
              <w:bottom w:val="single" w:sz="4" w:space="0" w:color="auto"/>
              <w:right w:val="single" w:sz="4" w:space="0" w:color="auto"/>
            </w:tcBorders>
            <w:shd w:val="clear" w:color="000000" w:fill="FFFFFF"/>
            <w:noWrap/>
            <w:vAlign w:val="bottom"/>
            <w:hideMark/>
          </w:tcPr>
          <w:p w14:paraId="3013132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120,00</w:t>
            </w:r>
          </w:p>
        </w:tc>
        <w:tc>
          <w:tcPr>
            <w:tcW w:w="1219" w:type="dxa"/>
            <w:tcBorders>
              <w:top w:val="nil"/>
              <w:left w:val="nil"/>
              <w:bottom w:val="single" w:sz="4" w:space="0" w:color="auto"/>
              <w:right w:val="single" w:sz="4" w:space="0" w:color="auto"/>
            </w:tcBorders>
            <w:shd w:val="clear" w:color="000000" w:fill="FFFFFF"/>
            <w:noWrap/>
            <w:vAlign w:val="bottom"/>
            <w:hideMark/>
          </w:tcPr>
          <w:p w14:paraId="66D1EFA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9,00</w:t>
            </w:r>
          </w:p>
        </w:tc>
        <w:tc>
          <w:tcPr>
            <w:tcW w:w="1075" w:type="dxa"/>
            <w:tcBorders>
              <w:top w:val="nil"/>
              <w:left w:val="nil"/>
              <w:bottom w:val="single" w:sz="4" w:space="0" w:color="auto"/>
              <w:right w:val="single" w:sz="4" w:space="0" w:color="auto"/>
            </w:tcBorders>
            <w:shd w:val="clear" w:color="000000" w:fill="FFFFFF"/>
            <w:noWrap/>
            <w:vAlign w:val="bottom"/>
            <w:hideMark/>
          </w:tcPr>
          <w:p w14:paraId="1EE457A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60,00</w:t>
            </w:r>
          </w:p>
        </w:tc>
      </w:tr>
      <w:tr w:rsidR="002D4864" w:rsidRPr="00620F58" w14:paraId="2D6A86C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6C5BE6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w:t>
            </w:r>
          </w:p>
        </w:tc>
        <w:tc>
          <w:tcPr>
            <w:tcW w:w="1845" w:type="dxa"/>
            <w:tcBorders>
              <w:top w:val="nil"/>
              <w:left w:val="nil"/>
              <w:bottom w:val="single" w:sz="4" w:space="0" w:color="auto"/>
              <w:right w:val="single" w:sz="4" w:space="0" w:color="auto"/>
            </w:tcBorders>
            <w:shd w:val="clear" w:color="000000" w:fill="FFFFFF"/>
            <w:noWrap/>
            <w:vAlign w:val="bottom"/>
            <w:hideMark/>
          </w:tcPr>
          <w:p w14:paraId="1B25B96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1466B6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Koovi</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55921C3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2495,00</w:t>
            </w:r>
          </w:p>
        </w:tc>
        <w:tc>
          <w:tcPr>
            <w:tcW w:w="1120" w:type="dxa"/>
            <w:tcBorders>
              <w:top w:val="nil"/>
              <w:left w:val="nil"/>
              <w:bottom w:val="single" w:sz="4" w:space="0" w:color="auto"/>
              <w:right w:val="single" w:sz="4" w:space="0" w:color="auto"/>
            </w:tcBorders>
            <w:shd w:val="clear" w:color="000000" w:fill="FFFFFF"/>
            <w:noWrap/>
            <w:vAlign w:val="bottom"/>
            <w:hideMark/>
          </w:tcPr>
          <w:p w14:paraId="61522C3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5470,00</w:t>
            </w:r>
          </w:p>
        </w:tc>
        <w:tc>
          <w:tcPr>
            <w:tcW w:w="1140" w:type="dxa"/>
            <w:tcBorders>
              <w:top w:val="nil"/>
              <w:left w:val="nil"/>
              <w:bottom w:val="single" w:sz="4" w:space="0" w:color="auto"/>
              <w:right w:val="single" w:sz="4" w:space="0" w:color="auto"/>
            </w:tcBorders>
            <w:shd w:val="clear" w:color="000000" w:fill="FFFFFF"/>
            <w:noWrap/>
            <w:vAlign w:val="bottom"/>
            <w:hideMark/>
          </w:tcPr>
          <w:p w14:paraId="28784FC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7916,00</w:t>
            </w:r>
          </w:p>
        </w:tc>
        <w:tc>
          <w:tcPr>
            <w:tcW w:w="1120" w:type="dxa"/>
            <w:tcBorders>
              <w:top w:val="nil"/>
              <w:left w:val="nil"/>
              <w:bottom w:val="single" w:sz="4" w:space="0" w:color="auto"/>
              <w:right w:val="single" w:sz="4" w:space="0" w:color="auto"/>
            </w:tcBorders>
            <w:shd w:val="clear" w:color="000000" w:fill="FFFFFF"/>
            <w:noWrap/>
            <w:vAlign w:val="bottom"/>
            <w:hideMark/>
          </w:tcPr>
          <w:p w14:paraId="2A99EF9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4845,00</w:t>
            </w:r>
          </w:p>
        </w:tc>
        <w:tc>
          <w:tcPr>
            <w:tcW w:w="931" w:type="dxa"/>
            <w:tcBorders>
              <w:top w:val="nil"/>
              <w:left w:val="nil"/>
              <w:bottom w:val="single" w:sz="4" w:space="0" w:color="auto"/>
              <w:right w:val="single" w:sz="4" w:space="0" w:color="auto"/>
            </w:tcBorders>
            <w:shd w:val="clear" w:color="000000" w:fill="FFFFFF"/>
            <w:noWrap/>
            <w:vAlign w:val="bottom"/>
            <w:hideMark/>
          </w:tcPr>
          <w:p w14:paraId="6E8973A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4140,00</w:t>
            </w:r>
          </w:p>
        </w:tc>
        <w:tc>
          <w:tcPr>
            <w:tcW w:w="1219" w:type="dxa"/>
            <w:tcBorders>
              <w:top w:val="nil"/>
              <w:left w:val="nil"/>
              <w:bottom w:val="single" w:sz="4" w:space="0" w:color="auto"/>
              <w:right w:val="single" w:sz="4" w:space="0" w:color="auto"/>
            </w:tcBorders>
            <w:shd w:val="clear" w:color="000000" w:fill="FFFFFF"/>
            <w:noWrap/>
            <w:vAlign w:val="bottom"/>
            <w:hideMark/>
          </w:tcPr>
          <w:p w14:paraId="2A27D5C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2476,10</w:t>
            </w:r>
          </w:p>
        </w:tc>
        <w:tc>
          <w:tcPr>
            <w:tcW w:w="1075" w:type="dxa"/>
            <w:tcBorders>
              <w:top w:val="nil"/>
              <w:left w:val="nil"/>
              <w:bottom w:val="single" w:sz="4" w:space="0" w:color="auto"/>
              <w:right w:val="single" w:sz="4" w:space="0" w:color="auto"/>
            </w:tcBorders>
            <w:shd w:val="clear" w:color="000000" w:fill="FFFFFF"/>
            <w:noWrap/>
            <w:vAlign w:val="bottom"/>
            <w:hideMark/>
          </w:tcPr>
          <w:p w14:paraId="5540AE4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2185,00</w:t>
            </w:r>
          </w:p>
        </w:tc>
      </w:tr>
      <w:tr w:rsidR="002D4864" w:rsidRPr="00620F58" w14:paraId="434657A5"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AC04CF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lastRenderedPageBreak/>
              <w:t>32</w:t>
            </w:r>
          </w:p>
        </w:tc>
        <w:tc>
          <w:tcPr>
            <w:tcW w:w="1845" w:type="dxa"/>
            <w:tcBorders>
              <w:top w:val="nil"/>
              <w:left w:val="nil"/>
              <w:bottom w:val="single" w:sz="4" w:space="0" w:color="auto"/>
              <w:right w:val="single" w:sz="4" w:space="0" w:color="auto"/>
            </w:tcBorders>
            <w:shd w:val="clear" w:color="000000" w:fill="FFFFFF"/>
            <w:noWrap/>
            <w:vAlign w:val="bottom"/>
            <w:hideMark/>
          </w:tcPr>
          <w:p w14:paraId="6E566C8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048FA45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Kotlandi</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159F360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19,00</w:t>
            </w:r>
          </w:p>
        </w:tc>
        <w:tc>
          <w:tcPr>
            <w:tcW w:w="1120" w:type="dxa"/>
            <w:tcBorders>
              <w:top w:val="nil"/>
              <w:left w:val="nil"/>
              <w:bottom w:val="single" w:sz="4" w:space="0" w:color="auto"/>
              <w:right w:val="single" w:sz="4" w:space="0" w:color="auto"/>
            </w:tcBorders>
            <w:shd w:val="clear" w:color="000000" w:fill="FFFFFF"/>
            <w:noWrap/>
            <w:vAlign w:val="bottom"/>
            <w:hideMark/>
          </w:tcPr>
          <w:p w14:paraId="17E78CE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54,20</w:t>
            </w:r>
          </w:p>
        </w:tc>
        <w:tc>
          <w:tcPr>
            <w:tcW w:w="1140" w:type="dxa"/>
            <w:tcBorders>
              <w:top w:val="nil"/>
              <w:left w:val="nil"/>
              <w:bottom w:val="single" w:sz="4" w:space="0" w:color="auto"/>
              <w:right w:val="single" w:sz="4" w:space="0" w:color="auto"/>
            </w:tcBorders>
            <w:shd w:val="clear" w:color="000000" w:fill="FFFFFF"/>
            <w:noWrap/>
            <w:vAlign w:val="bottom"/>
            <w:hideMark/>
          </w:tcPr>
          <w:p w14:paraId="2915007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25BE9AF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39,50</w:t>
            </w:r>
          </w:p>
        </w:tc>
        <w:tc>
          <w:tcPr>
            <w:tcW w:w="931" w:type="dxa"/>
            <w:tcBorders>
              <w:top w:val="nil"/>
              <w:left w:val="nil"/>
              <w:bottom w:val="single" w:sz="4" w:space="0" w:color="auto"/>
              <w:right w:val="single" w:sz="4" w:space="0" w:color="auto"/>
            </w:tcBorders>
            <w:shd w:val="clear" w:color="000000" w:fill="FFFFFF"/>
            <w:noWrap/>
            <w:vAlign w:val="bottom"/>
            <w:hideMark/>
          </w:tcPr>
          <w:p w14:paraId="1C4B93C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379,00</w:t>
            </w:r>
          </w:p>
        </w:tc>
        <w:tc>
          <w:tcPr>
            <w:tcW w:w="1219" w:type="dxa"/>
            <w:tcBorders>
              <w:top w:val="nil"/>
              <w:left w:val="nil"/>
              <w:bottom w:val="single" w:sz="4" w:space="0" w:color="auto"/>
              <w:right w:val="single" w:sz="4" w:space="0" w:color="auto"/>
            </w:tcBorders>
            <w:shd w:val="clear" w:color="000000" w:fill="FFFFFF"/>
            <w:noWrap/>
            <w:vAlign w:val="bottom"/>
            <w:hideMark/>
          </w:tcPr>
          <w:p w14:paraId="1A710CE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121,00</w:t>
            </w:r>
          </w:p>
        </w:tc>
        <w:tc>
          <w:tcPr>
            <w:tcW w:w="1075" w:type="dxa"/>
            <w:tcBorders>
              <w:top w:val="nil"/>
              <w:left w:val="nil"/>
              <w:bottom w:val="single" w:sz="4" w:space="0" w:color="auto"/>
              <w:right w:val="single" w:sz="4" w:space="0" w:color="auto"/>
            </w:tcBorders>
            <w:shd w:val="clear" w:color="000000" w:fill="FFFFFF"/>
            <w:noWrap/>
            <w:vAlign w:val="bottom"/>
            <w:hideMark/>
          </w:tcPr>
          <w:p w14:paraId="7E093BC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315,60</w:t>
            </w:r>
          </w:p>
        </w:tc>
      </w:tr>
      <w:tr w:rsidR="002D4864" w:rsidRPr="00620F58" w14:paraId="07F6358D"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C9D2A9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33</w:t>
            </w:r>
          </w:p>
        </w:tc>
        <w:tc>
          <w:tcPr>
            <w:tcW w:w="1845" w:type="dxa"/>
            <w:tcBorders>
              <w:top w:val="nil"/>
              <w:left w:val="nil"/>
              <w:bottom w:val="single" w:sz="4" w:space="0" w:color="auto"/>
              <w:right w:val="single" w:sz="4" w:space="0" w:color="auto"/>
            </w:tcBorders>
            <w:shd w:val="clear" w:color="000000" w:fill="FFFFFF"/>
            <w:noWrap/>
            <w:vAlign w:val="bottom"/>
            <w:hideMark/>
          </w:tcPr>
          <w:p w14:paraId="3477879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6898C62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Kungla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47F799E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3527,40</w:t>
            </w:r>
          </w:p>
        </w:tc>
        <w:tc>
          <w:tcPr>
            <w:tcW w:w="1120" w:type="dxa"/>
            <w:tcBorders>
              <w:top w:val="nil"/>
              <w:left w:val="nil"/>
              <w:bottom w:val="single" w:sz="4" w:space="0" w:color="auto"/>
              <w:right w:val="single" w:sz="4" w:space="0" w:color="auto"/>
            </w:tcBorders>
            <w:shd w:val="clear" w:color="000000" w:fill="FFFFFF"/>
            <w:noWrap/>
            <w:vAlign w:val="bottom"/>
            <w:hideMark/>
          </w:tcPr>
          <w:p w14:paraId="00D7AF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4585,00</w:t>
            </w:r>
          </w:p>
        </w:tc>
        <w:tc>
          <w:tcPr>
            <w:tcW w:w="1140" w:type="dxa"/>
            <w:tcBorders>
              <w:top w:val="nil"/>
              <w:left w:val="nil"/>
              <w:bottom w:val="single" w:sz="4" w:space="0" w:color="auto"/>
              <w:right w:val="single" w:sz="4" w:space="0" w:color="auto"/>
            </w:tcBorders>
            <w:shd w:val="clear" w:color="000000" w:fill="FFFFFF"/>
            <w:noWrap/>
            <w:vAlign w:val="bottom"/>
            <w:hideMark/>
          </w:tcPr>
          <w:p w14:paraId="6D6521C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3527,00</w:t>
            </w:r>
          </w:p>
        </w:tc>
        <w:tc>
          <w:tcPr>
            <w:tcW w:w="1120" w:type="dxa"/>
            <w:tcBorders>
              <w:top w:val="nil"/>
              <w:left w:val="nil"/>
              <w:bottom w:val="single" w:sz="4" w:space="0" w:color="auto"/>
              <w:right w:val="single" w:sz="4" w:space="0" w:color="auto"/>
            </w:tcBorders>
            <w:shd w:val="clear" w:color="000000" w:fill="FFFFFF"/>
            <w:noWrap/>
            <w:vAlign w:val="bottom"/>
            <w:hideMark/>
          </w:tcPr>
          <w:p w14:paraId="5BCEBFD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2318,00</w:t>
            </w:r>
          </w:p>
        </w:tc>
        <w:tc>
          <w:tcPr>
            <w:tcW w:w="931" w:type="dxa"/>
            <w:tcBorders>
              <w:top w:val="nil"/>
              <w:left w:val="nil"/>
              <w:bottom w:val="single" w:sz="4" w:space="0" w:color="auto"/>
              <w:right w:val="single" w:sz="4" w:space="0" w:color="auto"/>
            </w:tcBorders>
            <w:shd w:val="clear" w:color="000000" w:fill="FFFFFF"/>
            <w:noWrap/>
            <w:vAlign w:val="bottom"/>
            <w:hideMark/>
          </w:tcPr>
          <w:p w14:paraId="25A3798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3331,00</w:t>
            </w:r>
          </w:p>
        </w:tc>
        <w:tc>
          <w:tcPr>
            <w:tcW w:w="1219" w:type="dxa"/>
            <w:tcBorders>
              <w:top w:val="nil"/>
              <w:left w:val="nil"/>
              <w:bottom w:val="single" w:sz="4" w:space="0" w:color="auto"/>
              <w:right w:val="single" w:sz="4" w:space="0" w:color="auto"/>
            </w:tcBorders>
            <w:shd w:val="clear" w:color="000000" w:fill="FFFFFF"/>
            <w:noWrap/>
            <w:vAlign w:val="bottom"/>
            <w:hideMark/>
          </w:tcPr>
          <w:p w14:paraId="0B7AB7C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4746,00</w:t>
            </w:r>
          </w:p>
        </w:tc>
        <w:tc>
          <w:tcPr>
            <w:tcW w:w="1075" w:type="dxa"/>
            <w:tcBorders>
              <w:top w:val="nil"/>
              <w:left w:val="nil"/>
              <w:bottom w:val="single" w:sz="4" w:space="0" w:color="auto"/>
              <w:right w:val="single" w:sz="4" w:space="0" w:color="auto"/>
            </w:tcBorders>
            <w:shd w:val="clear" w:color="000000" w:fill="FFFFFF"/>
            <w:noWrap/>
            <w:vAlign w:val="bottom"/>
            <w:hideMark/>
          </w:tcPr>
          <w:p w14:paraId="7DE9A89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2745,00</w:t>
            </w:r>
          </w:p>
        </w:tc>
      </w:tr>
      <w:tr w:rsidR="002D4864" w:rsidRPr="00620F58" w14:paraId="069B776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B7123C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w:t>
            </w:r>
          </w:p>
        </w:tc>
        <w:tc>
          <w:tcPr>
            <w:tcW w:w="1845" w:type="dxa"/>
            <w:tcBorders>
              <w:top w:val="nil"/>
              <w:left w:val="nil"/>
              <w:bottom w:val="single" w:sz="4" w:space="0" w:color="auto"/>
              <w:right w:val="single" w:sz="4" w:space="0" w:color="auto"/>
            </w:tcBorders>
            <w:shd w:val="clear" w:color="000000" w:fill="FFFFFF"/>
            <w:noWrap/>
            <w:vAlign w:val="bottom"/>
            <w:hideMark/>
          </w:tcPr>
          <w:p w14:paraId="0E76AD6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79E680D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Kuressaare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1AEA663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16,00</w:t>
            </w:r>
          </w:p>
        </w:tc>
        <w:tc>
          <w:tcPr>
            <w:tcW w:w="1120" w:type="dxa"/>
            <w:tcBorders>
              <w:top w:val="nil"/>
              <w:left w:val="nil"/>
              <w:bottom w:val="single" w:sz="4" w:space="0" w:color="auto"/>
              <w:right w:val="single" w:sz="4" w:space="0" w:color="auto"/>
            </w:tcBorders>
            <w:shd w:val="clear" w:color="000000" w:fill="FFFFFF"/>
            <w:noWrap/>
            <w:vAlign w:val="bottom"/>
            <w:hideMark/>
          </w:tcPr>
          <w:p w14:paraId="2D60343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15,00</w:t>
            </w:r>
          </w:p>
        </w:tc>
        <w:tc>
          <w:tcPr>
            <w:tcW w:w="1140" w:type="dxa"/>
            <w:tcBorders>
              <w:top w:val="nil"/>
              <w:left w:val="nil"/>
              <w:bottom w:val="single" w:sz="4" w:space="0" w:color="auto"/>
              <w:right w:val="single" w:sz="4" w:space="0" w:color="auto"/>
            </w:tcBorders>
            <w:shd w:val="clear" w:color="000000" w:fill="FFFFFF"/>
            <w:noWrap/>
            <w:vAlign w:val="bottom"/>
            <w:hideMark/>
          </w:tcPr>
          <w:p w14:paraId="5EBFA22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78BBB3C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4,00</w:t>
            </w:r>
          </w:p>
        </w:tc>
        <w:tc>
          <w:tcPr>
            <w:tcW w:w="931" w:type="dxa"/>
            <w:tcBorders>
              <w:top w:val="nil"/>
              <w:left w:val="nil"/>
              <w:bottom w:val="single" w:sz="4" w:space="0" w:color="auto"/>
              <w:right w:val="single" w:sz="4" w:space="0" w:color="auto"/>
            </w:tcBorders>
            <w:shd w:val="clear" w:color="000000" w:fill="FFFFFF"/>
            <w:noWrap/>
            <w:vAlign w:val="bottom"/>
            <w:hideMark/>
          </w:tcPr>
          <w:p w14:paraId="53EC2FA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824,00</w:t>
            </w:r>
          </w:p>
        </w:tc>
        <w:tc>
          <w:tcPr>
            <w:tcW w:w="1219" w:type="dxa"/>
            <w:tcBorders>
              <w:top w:val="nil"/>
              <w:left w:val="nil"/>
              <w:bottom w:val="single" w:sz="4" w:space="0" w:color="auto"/>
              <w:right w:val="single" w:sz="4" w:space="0" w:color="auto"/>
            </w:tcBorders>
            <w:shd w:val="clear" w:color="000000" w:fill="FFFFFF"/>
            <w:noWrap/>
            <w:vAlign w:val="bottom"/>
            <w:hideMark/>
          </w:tcPr>
          <w:p w14:paraId="26EC33F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8,00</w:t>
            </w:r>
          </w:p>
        </w:tc>
        <w:tc>
          <w:tcPr>
            <w:tcW w:w="1075" w:type="dxa"/>
            <w:tcBorders>
              <w:top w:val="nil"/>
              <w:left w:val="nil"/>
              <w:bottom w:val="single" w:sz="4" w:space="0" w:color="auto"/>
              <w:right w:val="single" w:sz="4" w:space="0" w:color="auto"/>
            </w:tcBorders>
            <w:shd w:val="clear" w:color="000000" w:fill="FFFFFF"/>
            <w:noWrap/>
            <w:vAlign w:val="bottom"/>
            <w:hideMark/>
          </w:tcPr>
          <w:p w14:paraId="4E935E7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r>
      <w:tr w:rsidR="002D4864" w:rsidRPr="00620F58" w14:paraId="3E43A03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540C6D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w:t>
            </w:r>
          </w:p>
        </w:tc>
        <w:tc>
          <w:tcPr>
            <w:tcW w:w="1845" w:type="dxa"/>
            <w:tcBorders>
              <w:top w:val="nil"/>
              <w:left w:val="nil"/>
              <w:bottom w:val="single" w:sz="4" w:space="0" w:color="auto"/>
              <w:right w:val="single" w:sz="4" w:space="0" w:color="auto"/>
            </w:tcBorders>
            <w:shd w:val="clear" w:color="000000" w:fill="FFFFFF"/>
            <w:noWrap/>
            <w:vAlign w:val="bottom"/>
            <w:hideMark/>
          </w:tcPr>
          <w:p w14:paraId="711A16A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0E4D77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Kuusnõmme</w:t>
            </w:r>
          </w:p>
        </w:tc>
        <w:tc>
          <w:tcPr>
            <w:tcW w:w="1075" w:type="dxa"/>
            <w:tcBorders>
              <w:top w:val="nil"/>
              <w:left w:val="nil"/>
              <w:bottom w:val="single" w:sz="4" w:space="0" w:color="auto"/>
              <w:right w:val="single" w:sz="4" w:space="0" w:color="auto"/>
            </w:tcBorders>
            <w:shd w:val="clear" w:color="000000" w:fill="FFFFFF"/>
            <w:noWrap/>
            <w:vAlign w:val="bottom"/>
            <w:hideMark/>
          </w:tcPr>
          <w:p w14:paraId="362BE54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45,00</w:t>
            </w:r>
          </w:p>
        </w:tc>
        <w:tc>
          <w:tcPr>
            <w:tcW w:w="1120" w:type="dxa"/>
            <w:tcBorders>
              <w:top w:val="nil"/>
              <w:left w:val="nil"/>
              <w:bottom w:val="single" w:sz="4" w:space="0" w:color="auto"/>
              <w:right w:val="single" w:sz="4" w:space="0" w:color="auto"/>
            </w:tcBorders>
            <w:shd w:val="clear" w:color="000000" w:fill="FFFFFF"/>
            <w:noWrap/>
            <w:vAlign w:val="bottom"/>
            <w:hideMark/>
          </w:tcPr>
          <w:p w14:paraId="4D087D5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36,00</w:t>
            </w:r>
          </w:p>
        </w:tc>
        <w:tc>
          <w:tcPr>
            <w:tcW w:w="1140" w:type="dxa"/>
            <w:tcBorders>
              <w:top w:val="nil"/>
              <w:left w:val="nil"/>
              <w:bottom w:val="single" w:sz="4" w:space="0" w:color="auto"/>
              <w:right w:val="single" w:sz="4" w:space="0" w:color="auto"/>
            </w:tcBorders>
            <w:shd w:val="clear" w:color="000000" w:fill="FFFFFF"/>
            <w:noWrap/>
            <w:vAlign w:val="bottom"/>
            <w:hideMark/>
          </w:tcPr>
          <w:p w14:paraId="59BE09B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226,50</w:t>
            </w:r>
          </w:p>
        </w:tc>
        <w:tc>
          <w:tcPr>
            <w:tcW w:w="1120" w:type="dxa"/>
            <w:tcBorders>
              <w:top w:val="nil"/>
              <w:left w:val="nil"/>
              <w:bottom w:val="single" w:sz="4" w:space="0" w:color="auto"/>
              <w:right w:val="single" w:sz="4" w:space="0" w:color="auto"/>
            </w:tcBorders>
            <w:shd w:val="clear" w:color="000000" w:fill="FFFFFF"/>
            <w:noWrap/>
            <w:vAlign w:val="bottom"/>
            <w:hideMark/>
          </w:tcPr>
          <w:p w14:paraId="6A877C6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36,00</w:t>
            </w:r>
          </w:p>
        </w:tc>
        <w:tc>
          <w:tcPr>
            <w:tcW w:w="931" w:type="dxa"/>
            <w:tcBorders>
              <w:top w:val="nil"/>
              <w:left w:val="nil"/>
              <w:bottom w:val="single" w:sz="4" w:space="0" w:color="auto"/>
              <w:right w:val="single" w:sz="4" w:space="0" w:color="auto"/>
            </w:tcBorders>
            <w:shd w:val="clear" w:color="000000" w:fill="FFFFFF"/>
            <w:noWrap/>
            <w:vAlign w:val="bottom"/>
            <w:hideMark/>
          </w:tcPr>
          <w:p w14:paraId="6ABC943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000000" w:fill="FFFFFF"/>
            <w:noWrap/>
            <w:vAlign w:val="bottom"/>
            <w:hideMark/>
          </w:tcPr>
          <w:p w14:paraId="5F8E2A0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4599,50</w:t>
            </w:r>
          </w:p>
        </w:tc>
        <w:tc>
          <w:tcPr>
            <w:tcW w:w="1075" w:type="dxa"/>
            <w:tcBorders>
              <w:top w:val="nil"/>
              <w:left w:val="nil"/>
              <w:bottom w:val="single" w:sz="4" w:space="0" w:color="auto"/>
              <w:right w:val="single" w:sz="4" w:space="0" w:color="auto"/>
            </w:tcBorders>
            <w:shd w:val="clear" w:color="000000" w:fill="FFFFFF"/>
            <w:noWrap/>
            <w:vAlign w:val="bottom"/>
            <w:hideMark/>
          </w:tcPr>
          <w:p w14:paraId="6BEEABD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348,50</w:t>
            </w:r>
          </w:p>
        </w:tc>
      </w:tr>
      <w:tr w:rsidR="002D4864" w:rsidRPr="00620F58" w14:paraId="6E4E905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366258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w:t>
            </w:r>
          </w:p>
        </w:tc>
        <w:tc>
          <w:tcPr>
            <w:tcW w:w="1845" w:type="dxa"/>
            <w:tcBorders>
              <w:top w:val="nil"/>
              <w:left w:val="nil"/>
              <w:bottom w:val="single" w:sz="4" w:space="0" w:color="auto"/>
              <w:right w:val="single" w:sz="4" w:space="0" w:color="auto"/>
            </w:tcBorders>
            <w:shd w:val="clear" w:color="000000" w:fill="FFFFFF"/>
            <w:noWrap/>
            <w:vAlign w:val="bottom"/>
            <w:hideMark/>
          </w:tcPr>
          <w:p w14:paraId="40BAE48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5CDD7D6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Kõiguste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821F13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2077,50</w:t>
            </w:r>
          </w:p>
        </w:tc>
        <w:tc>
          <w:tcPr>
            <w:tcW w:w="1120" w:type="dxa"/>
            <w:tcBorders>
              <w:top w:val="nil"/>
              <w:left w:val="nil"/>
              <w:bottom w:val="single" w:sz="4" w:space="0" w:color="auto"/>
              <w:right w:val="single" w:sz="4" w:space="0" w:color="auto"/>
            </w:tcBorders>
            <w:shd w:val="clear" w:color="000000" w:fill="FFFFFF"/>
            <w:noWrap/>
            <w:vAlign w:val="bottom"/>
            <w:hideMark/>
          </w:tcPr>
          <w:p w14:paraId="093019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3764,40</w:t>
            </w:r>
          </w:p>
        </w:tc>
        <w:tc>
          <w:tcPr>
            <w:tcW w:w="1140" w:type="dxa"/>
            <w:tcBorders>
              <w:top w:val="nil"/>
              <w:left w:val="nil"/>
              <w:bottom w:val="single" w:sz="4" w:space="0" w:color="auto"/>
              <w:right w:val="single" w:sz="4" w:space="0" w:color="auto"/>
            </w:tcBorders>
            <w:shd w:val="clear" w:color="000000" w:fill="FFFFFF"/>
            <w:noWrap/>
            <w:vAlign w:val="bottom"/>
            <w:hideMark/>
          </w:tcPr>
          <w:p w14:paraId="1540154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5855,50</w:t>
            </w:r>
          </w:p>
        </w:tc>
        <w:tc>
          <w:tcPr>
            <w:tcW w:w="1120" w:type="dxa"/>
            <w:tcBorders>
              <w:top w:val="nil"/>
              <w:left w:val="nil"/>
              <w:bottom w:val="single" w:sz="4" w:space="0" w:color="auto"/>
              <w:right w:val="single" w:sz="4" w:space="0" w:color="auto"/>
            </w:tcBorders>
            <w:shd w:val="clear" w:color="000000" w:fill="FFFFFF"/>
            <w:noWrap/>
            <w:vAlign w:val="bottom"/>
            <w:hideMark/>
          </w:tcPr>
          <w:p w14:paraId="567BF61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4402,00</w:t>
            </w:r>
          </w:p>
        </w:tc>
        <w:tc>
          <w:tcPr>
            <w:tcW w:w="931" w:type="dxa"/>
            <w:tcBorders>
              <w:top w:val="nil"/>
              <w:left w:val="nil"/>
              <w:bottom w:val="single" w:sz="4" w:space="0" w:color="auto"/>
              <w:right w:val="single" w:sz="4" w:space="0" w:color="auto"/>
            </w:tcBorders>
            <w:shd w:val="clear" w:color="000000" w:fill="FFFFFF"/>
            <w:noWrap/>
            <w:vAlign w:val="bottom"/>
            <w:hideMark/>
          </w:tcPr>
          <w:p w14:paraId="6C9BBE6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3125,00</w:t>
            </w:r>
          </w:p>
        </w:tc>
        <w:tc>
          <w:tcPr>
            <w:tcW w:w="1219" w:type="dxa"/>
            <w:tcBorders>
              <w:top w:val="nil"/>
              <w:left w:val="nil"/>
              <w:bottom w:val="single" w:sz="4" w:space="0" w:color="auto"/>
              <w:right w:val="single" w:sz="4" w:space="0" w:color="auto"/>
            </w:tcBorders>
            <w:shd w:val="clear" w:color="000000" w:fill="FFFFFF"/>
            <w:noWrap/>
            <w:vAlign w:val="bottom"/>
            <w:hideMark/>
          </w:tcPr>
          <w:p w14:paraId="2DE408D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2281,00</w:t>
            </w:r>
          </w:p>
        </w:tc>
        <w:tc>
          <w:tcPr>
            <w:tcW w:w="1075" w:type="dxa"/>
            <w:tcBorders>
              <w:top w:val="nil"/>
              <w:left w:val="nil"/>
              <w:bottom w:val="single" w:sz="4" w:space="0" w:color="auto"/>
              <w:right w:val="single" w:sz="4" w:space="0" w:color="auto"/>
            </w:tcBorders>
            <w:shd w:val="clear" w:color="000000" w:fill="FFFFFF"/>
            <w:noWrap/>
            <w:vAlign w:val="bottom"/>
            <w:hideMark/>
          </w:tcPr>
          <w:p w14:paraId="2033624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2607,50</w:t>
            </w:r>
          </w:p>
        </w:tc>
      </w:tr>
      <w:tr w:rsidR="002D4864" w:rsidRPr="00620F58" w14:paraId="5FDC6A5C"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704432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37</w:t>
            </w:r>
          </w:p>
        </w:tc>
        <w:tc>
          <w:tcPr>
            <w:tcW w:w="1845" w:type="dxa"/>
            <w:tcBorders>
              <w:top w:val="nil"/>
              <w:left w:val="nil"/>
              <w:bottom w:val="single" w:sz="4" w:space="0" w:color="auto"/>
              <w:right w:val="single" w:sz="4" w:space="0" w:color="auto"/>
            </w:tcBorders>
            <w:shd w:val="clear" w:color="000000" w:fill="FFFFFF"/>
            <w:noWrap/>
            <w:vAlign w:val="bottom"/>
            <w:hideMark/>
          </w:tcPr>
          <w:p w14:paraId="5992130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3EFD84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Kõruse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3349814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483,00</w:t>
            </w:r>
          </w:p>
        </w:tc>
        <w:tc>
          <w:tcPr>
            <w:tcW w:w="1120" w:type="dxa"/>
            <w:tcBorders>
              <w:top w:val="nil"/>
              <w:left w:val="nil"/>
              <w:bottom w:val="single" w:sz="4" w:space="0" w:color="auto"/>
              <w:right w:val="single" w:sz="4" w:space="0" w:color="auto"/>
            </w:tcBorders>
            <w:shd w:val="clear" w:color="000000" w:fill="FFFFFF"/>
            <w:noWrap/>
            <w:vAlign w:val="bottom"/>
            <w:hideMark/>
          </w:tcPr>
          <w:p w14:paraId="25F2287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437,50</w:t>
            </w:r>
          </w:p>
        </w:tc>
        <w:tc>
          <w:tcPr>
            <w:tcW w:w="1140" w:type="dxa"/>
            <w:tcBorders>
              <w:top w:val="nil"/>
              <w:left w:val="nil"/>
              <w:bottom w:val="single" w:sz="4" w:space="0" w:color="auto"/>
              <w:right w:val="single" w:sz="4" w:space="0" w:color="auto"/>
            </w:tcBorders>
            <w:shd w:val="clear" w:color="000000" w:fill="FFFFFF"/>
            <w:noWrap/>
            <w:vAlign w:val="bottom"/>
            <w:hideMark/>
          </w:tcPr>
          <w:p w14:paraId="5607074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1163,00</w:t>
            </w:r>
          </w:p>
        </w:tc>
        <w:tc>
          <w:tcPr>
            <w:tcW w:w="1120" w:type="dxa"/>
            <w:tcBorders>
              <w:top w:val="nil"/>
              <w:left w:val="nil"/>
              <w:bottom w:val="single" w:sz="4" w:space="0" w:color="auto"/>
              <w:right w:val="single" w:sz="4" w:space="0" w:color="auto"/>
            </w:tcBorders>
            <w:shd w:val="clear" w:color="000000" w:fill="FFFFFF"/>
            <w:noWrap/>
            <w:vAlign w:val="bottom"/>
            <w:hideMark/>
          </w:tcPr>
          <w:p w14:paraId="66AE91B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1062,30</w:t>
            </w:r>
          </w:p>
        </w:tc>
        <w:tc>
          <w:tcPr>
            <w:tcW w:w="931" w:type="dxa"/>
            <w:tcBorders>
              <w:top w:val="nil"/>
              <w:left w:val="nil"/>
              <w:bottom w:val="single" w:sz="4" w:space="0" w:color="auto"/>
              <w:right w:val="single" w:sz="4" w:space="0" w:color="auto"/>
            </w:tcBorders>
            <w:shd w:val="clear" w:color="000000" w:fill="FFFFFF"/>
            <w:noWrap/>
            <w:vAlign w:val="bottom"/>
            <w:hideMark/>
          </w:tcPr>
          <w:p w14:paraId="52192DC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504,00</w:t>
            </w:r>
          </w:p>
        </w:tc>
        <w:tc>
          <w:tcPr>
            <w:tcW w:w="1219" w:type="dxa"/>
            <w:tcBorders>
              <w:top w:val="nil"/>
              <w:left w:val="nil"/>
              <w:bottom w:val="single" w:sz="4" w:space="0" w:color="auto"/>
              <w:right w:val="single" w:sz="4" w:space="0" w:color="auto"/>
            </w:tcBorders>
            <w:shd w:val="clear" w:color="000000" w:fill="FFFFFF"/>
            <w:noWrap/>
            <w:vAlign w:val="bottom"/>
            <w:hideMark/>
          </w:tcPr>
          <w:p w14:paraId="2AFD7D9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874,00</w:t>
            </w:r>
          </w:p>
        </w:tc>
        <w:tc>
          <w:tcPr>
            <w:tcW w:w="1075" w:type="dxa"/>
            <w:tcBorders>
              <w:top w:val="nil"/>
              <w:left w:val="nil"/>
              <w:bottom w:val="single" w:sz="4" w:space="0" w:color="auto"/>
              <w:right w:val="single" w:sz="4" w:space="0" w:color="auto"/>
            </w:tcBorders>
            <w:shd w:val="clear" w:color="000000" w:fill="FFFFFF"/>
            <w:noWrap/>
            <w:vAlign w:val="bottom"/>
            <w:hideMark/>
          </w:tcPr>
          <w:p w14:paraId="59C7C4F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1401,00</w:t>
            </w:r>
          </w:p>
        </w:tc>
      </w:tr>
      <w:tr w:rsidR="002D4864" w:rsidRPr="00620F58" w14:paraId="014DC97D" w14:textId="77777777" w:rsidTr="00B42464">
        <w:trPr>
          <w:trHeight w:val="300"/>
        </w:trPr>
        <w:tc>
          <w:tcPr>
            <w:tcW w:w="560" w:type="dxa"/>
            <w:tcBorders>
              <w:top w:val="nil"/>
              <w:left w:val="single" w:sz="4" w:space="0" w:color="auto"/>
              <w:bottom w:val="single" w:sz="4" w:space="0" w:color="auto"/>
              <w:right w:val="single" w:sz="4" w:space="0" w:color="auto"/>
            </w:tcBorders>
            <w:shd w:val="clear" w:color="FFC000" w:fill="FFFFFF"/>
            <w:noWrap/>
            <w:vAlign w:val="bottom"/>
            <w:hideMark/>
          </w:tcPr>
          <w:p w14:paraId="25E9267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w:t>
            </w:r>
          </w:p>
        </w:tc>
        <w:tc>
          <w:tcPr>
            <w:tcW w:w="1845" w:type="dxa"/>
            <w:tcBorders>
              <w:top w:val="nil"/>
              <w:left w:val="nil"/>
              <w:bottom w:val="single" w:sz="4" w:space="0" w:color="auto"/>
              <w:right w:val="single" w:sz="4" w:space="0" w:color="auto"/>
            </w:tcBorders>
            <w:shd w:val="clear" w:color="FFC000" w:fill="FFFFFF"/>
            <w:noWrap/>
            <w:vAlign w:val="bottom"/>
            <w:hideMark/>
          </w:tcPr>
          <w:p w14:paraId="7C754AF0"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3AC8E3BB"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Kärsa sadam</w:t>
            </w:r>
          </w:p>
        </w:tc>
        <w:tc>
          <w:tcPr>
            <w:tcW w:w="1075" w:type="dxa"/>
            <w:tcBorders>
              <w:top w:val="nil"/>
              <w:left w:val="nil"/>
              <w:bottom w:val="single" w:sz="4" w:space="0" w:color="auto"/>
              <w:right w:val="single" w:sz="4" w:space="0" w:color="auto"/>
            </w:tcBorders>
            <w:shd w:val="clear" w:color="FFC000" w:fill="FFFFFF"/>
            <w:noWrap/>
            <w:vAlign w:val="bottom"/>
            <w:hideMark/>
          </w:tcPr>
          <w:p w14:paraId="47D5513A"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1700,80</w:t>
            </w:r>
          </w:p>
        </w:tc>
        <w:tc>
          <w:tcPr>
            <w:tcW w:w="1120" w:type="dxa"/>
            <w:tcBorders>
              <w:top w:val="nil"/>
              <w:left w:val="nil"/>
              <w:bottom w:val="single" w:sz="4" w:space="0" w:color="auto"/>
              <w:right w:val="single" w:sz="4" w:space="0" w:color="auto"/>
            </w:tcBorders>
            <w:shd w:val="clear" w:color="FFC000" w:fill="FFFFFF"/>
            <w:noWrap/>
            <w:vAlign w:val="bottom"/>
            <w:hideMark/>
          </w:tcPr>
          <w:p w14:paraId="5D9A052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3303,00</w:t>
            </w:r>
          </w:p>
        </w:tc>
        <w:tc>
          <w:tcPr>
            <w:tcW w:w="1140" w:type="dxa"/>
            <w:tcBorders>
              <w:top w:val="nil"/>
              <w:left w:val="nil"/>
              <w:bottom w:val="single" w:sz="4" w:space="0" w:color="auto"/>
              <w:right w:val="single" w:sz="4" w:space="0" w:color="auto"/>
            </w:tcBorders>
            <w:shd w:val="clear" w:color="FFC000" w:fill="FFFFFF"/>
            <w:noWrap/>
            <w:vAlign w:val="bottom"/>
            <w:hideMark/>
          </w:tcPr>
          <w:p w14:paraId="78C5406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7715,50</w:t>
            </w:r>
          </w:p>
        </w:tc>
        <w:tc>
          <w:tcPr>
            <w:tcW w:w="1120" w:type="dxa"/>
            <w:tcBorders>
              <w:top w:val="nil"/>
              <w:left w:val="nil"/>
              <w:bottom w:val="single" w:sz="4" w:space="0" w:color="auto"/>
              <w:right w:val="single" w:sz="4" w:space="0" w:color="auto"/>
            </w:tcBorders>
            <w:shd w:val="clear" w:color="FFC000" w:fill="FFFFFF"/>
            <w:noWrap/>
            <w:vAlign w:val="bottom"/>
            <w:hideMark/>
          </w:tcPr>
          <w:p w14:paraId="42456E7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899,00</w:t>
            </w:r>
          </w:p>
        </w:tc>
        <w:tc>
          <w:tcPr>
            <w:tcW w:w="931" w:type="dxa"/>
            <w:tcBorders>
              <w:top w:val="nil"/>
              <w:left w:val="nil"/>
              <w:bottom w:val="single" w:sz="4" w:space="0" w:color="auto"/>
              <w:right w:val="single" w:sz="4" w:space="0" w:color="auto"/>
            </w:tcBorders>
            <w:shd w:val="clear" w:color="FFC000" w:fill="FFFFFF"/>
            <w:noWrap/>
            <w:vAlign w:val="bottom"/>
            <w:hideMark/>
          </w:tcPr>
          <w:p w14:paraId="7CAB8F30"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219" w:type="dxa"/>
            <w:tcBorders>
              <w:top w:val="nil"/>
              <w:left w:val="nil"/>
              <w:bottom w:val="single" w:sz="4" w:space="0" w:color="auto"/>
              <w:right w:val="single" w:sz="4" w:space="0" w:color="auto"/>
            </w:tcBorders>
            <w:shd w:val="clear" w:color="FFC000" w:fill="FFFFFF"/>
            <w:noWrap/>
            <w:vAlign w:val="bottom"/>
            <w:hideMark/>
          </w:tcPr>
          <w:p w14:paraId="5CA11AF9"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93,00</w:t>
            </w:r>
          </w:p>
        </w:tc>
        <w:tc>
          <w:tcPr>
            <w:tcW w:w="1075" w:type="dxa"/>
            <w:tcBorders>
              <w:top w:val="nil"/>
              <w:left w:val="nil"/>
              <w:bottom w:val="single" w:sz="4" w:space="0" w:color="auto"/>
              <w:right w:val="single" w:sz="4" w:space="0" w:color="auto"/>
            </w:tcBorders>
            <w:shd w:val="clear" w:color="FFC000" w:fill="FFFFFF"/>
            <w:noWrap/>
            <w:vAlign w:val="bottom"/>
            <w:hideMark/>
          </w:tcPr>
          <w:p w14:paraId="2B94AA1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47551CF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0377C6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39</w:t>
            </w:r>
          </w:p>
        </w:tc>
        <w:tc>
          <w:tcPr>
            <w:tcW w:w="1845" w:type="dxa"/>
            <w:tcBorders>
              <w:top w:val="nil"/>
              <w:left w:val="nil"/>
              <w:bottom w:val="single" w:sz="4" w:space="0" w:color="auto"/>
              <w:right w:val="single" w:sz="4" w:space="0" w:color="auto"/>
            </w:tcBorders>
            <w:shd w:val="clear" w:color="000000" w:fill="FFFFFF"/>
            <w:noWrap/>
            <w:vAlign w:val="bottom"/>
            <w:hideMark/>
          </w:tcPr>
          <w:p w14:paraId="0BAD4E6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2A5542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Käkisilma</w:t>
            </w:r>
          </w:p>
        </w:tc>
        <w:tc>
          <w:tcPr>
            <w:tcW w:w="1075" w:type="dxa"/>
            <w:tcBorders>
              <w:top w:val="nil"/>
              <w:left w:val="nil"/>
              <w:bottom w:val="single" w:sz="4" w:space="0" w:color="auto"/>
              <w:right w:val="single" w:sz="4" w:space="0" w:color="auto"/>
            </w:tcBorders>
            <w:shd w:val="clear" w:color="000000" w:fill="FFFFFF"/>
            <w:noWrap/>
            <w:vAlign w:val="bottom"/>
            <w:hideMark/>
          </w:tcPr>
          <w:p w14:paraId="6B99CA4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41,00</w:t>
            </w:r>
          </w:p>
        </w:tc>
        <w:tc>
          <w:tcPr>
            <w:tcW w:w="1120" w:type="dxa"/>
            <w:tcBorders>
              <w:top w:val="nil"/>
              <w:left w:val="nil"/>
              <w:bottom w:val="single" w:sz="4" w:space="0" w:color="auto"/>
              <w:right w:val="single" w:sz="4" w:space="0" w:color="auto"/>
            </w:tcBorders>
            <w:shd w:val="clear" w:color="000000" w:fill="FFFFFF"/>
            <w:noWrap/>
            <w:vAlign w:val="bottom"/>
            <w:hideMark/>
          </w:tcPr>
          <w:p w14:paraId="05F2A64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510,00</w:t>
            </w:r>
          </w:p>
        </w:tc>
        <w:tc>
          <w:tcPr>
            <w:tcW w:w="1140" w:type="dxa"/>
            <w:tcBorders>
              <w:top w:val="nil"/>
              <w:left w:val="nil"/>
              <w:bottom w:val="single" w:sz="4" w:space="0" w:color="auto"/>
              <w:right w:val="single" w:sz="4" w:space="0" w:color="auto"/>
            </w:tcBorders>
            <w:shd w:val="clear" w:color="000000" w:fill="FFFFFF"/>
            <w:noWrap/>
            <w:vAlign w:val="bottom"/>
            <w:hideMark/>
          </w:tcPr>
          <w:p w14:paraId="48E2D4B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145,00</w:t>
            </w:r>
          </w:p>
        </w:tc>
        <w:tc>
          <w:tcPr>
            <w:tcW w:w="1120" w:type="dxa"/>
            <w:tcBorders>
              <w:top w:val="nil"/>
              <w:left w:val="nil"/>
              <w:bottom w:val="single" w:sz="4" w:space="0" w:color="auto"/>
              <w:right w:val="single" w:sz="4" w:space="0" w:color="auto"/>
            </w:tcBorders>
            <w:shd w:val="clear" w:color="000000" w:fill="FFFFFF"/>
            <w:noWrap/>
            <w:vAlign w:val="bottom"/>
            <w:hideMark/>
          </w:tcPr>
          <w:p w14:paraId="4107CDF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274,50</w:t>
            </w:r>
          </w:p>
        </w:tc>
        <w:tc>
          <w:tcPr>
            <w:tcW w:w="931" w:type="dxa"/>
            <w:tcBorders>
              <w:top w:val="nil"/>
              <w:left w:val="nil"/>
              <w:bottom w:val="single" w:sz="4" w:space="0" w:color="auto"/>
              <w:right w:val="single" w:sz="4" w:space="0" w:color="auto"/>
            </w:tcBorders>
            <w:shd w:val="clear" w:color="000000" w:fill="FFFFFF"/>
            <w:noWrap/>
            <w:vAlign w:val="bottom"/>
            <w:hideMark/>
          </w:tcPr>
          <w:p w14:paraId="63757A3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349,00</w:t>
            </w:r>
          </w:p>
        </w:tc>
        <w:tc>
          <w:tcPr>
            <w:tcW w:w="1219" w:type="dxa"/>
            <w:tcBorders>
              <w:top w:val="nil"/>
              <w:left w:val="nil"/>
              <w:bottom w:val="single" w:sz="4" w:space="0" w:color="auto"/>
              <w:right w:val="single" w:sz="4" w:space="0" w:color="auto"/>
            </w:tcBorders>
            <w:shd w:val="clear" w:color="000000" w:fill="FFFFFF"/>
            <w:noWrap/>
            <w:vAlign w:val="bottom"/>
            <w:hideMark/>
          </w:tcPr>
          <w:p w14:paraId="2CDF332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517,50</w:t>
            </w:r>
          </w:p>
        </w:tc>
        <w:tc>
          <w:tcPr>
            <w:tcW w:w="1075" w:type="dxa"/>
            <w:tcBorders>
              <w:top w:val="nil"/>
              <w:left w:val="nil"/>
              <w:bottom w:val="single" w:sz="4" w:space="0" w:color="auto"/>
              <w:right w:val="single" w:sz="4" w:space="0" w:color="auto"/>
            </w:tcBorders>
            <w:shd w:val="clear" w:color="000000" w:fill="FFFFFF"/>
            <w:noWrap/>
            <w:vAlign w:val="bottom"/>
            <w:hideMark/>
          </w:tcPr>
          <w:p w14:paraId="09BA337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422,00</w:t>
            </w:r>
          </w:p>
        </w:tc>
      </w:tr>
      <w:tr w:rsidR="002D4864" w:rsidRPr="00620F58" w14:paraId="5566F39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7452D8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w:t>
            </w:r>
          </w:p>
        </w:tc>
        <w:tc>
          <w:tcPr>
            <w:tcW w:w="1845" w:type="dxa"/>
            <w:tcBorders>
              <w:top w:val="nil"/>
              <w:left w:val="nil"/>
              <w:bottom w:val="single" w:sz="4" w:space="0" w:color="auto"/>
              <w:right w:val="single" w:sz="4" w:space="0" w:color="auto"/>
            </w:tcBorders>
            <w:shd w:val="clear" w:color="000000" w:fill="FFFFFF"/>
            <w:noWrap/>
            <w:vAlign w:val="bottom"/>
            <w:hideMark/>
          </w:tcPr>
          <w:p w14:paraId="23F0B9A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50E660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Kübassaare</w:t>
            </w:r>
          </w:p>
        </w:tc>
        <w:tc>
          <w:tcPr>
            <w:tcW w:w="1075" w:type="dxa"/>
            <w:tcBorders>
              <w:top w:val="nil"/>
              <w:left w:val="nil"/>
              <w:bottom w:val="single" w:sz="4" w:space="0" w:color="auto"/>
              <w:right w:val="single" w:sz="4" w:space="0" w:color="auto"/>
            </w:tcBorders>
            <w:shd w:val="clear" w:color="000000" w:fill="FFFFFF"/>
            <w:noWrap/>
            <w:vAlign w:val="bottom"/>
            <w:hideMark/>
          </w:tcPr>
          <w:p w14:paraId="746CDCC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6182,00</w:t>
            </w:r>
          </w:p>
        </w:tc>
        <w:tc>
          <w:tcPr>
            <w:tcW w:w="1120" w:type="dxa"/>
            <w:tcBorders>
              <w:top w:val="nil"/>
              <w:left w:val="nil"/>
              <w:bottom w:val="single" w:sz="4" w:space="0" w:color="auto"/>
              <w:right w:val="single" w:sz="4" w:space="0" w:color="auto"/>
            </w:tcBorders>
            <w:shd w:val="clear" w:color="000000" w:fill="FFFFFF"/>
            <w:noWrap/>
            <w:vAlign w:val="bottom"/>
            <w:hideMark/>
          </w:tcPr>
          <w:p w14:paraId="0F5EAE0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7446,50</w:t>
            </w:r>
          </w:p>
        </w:tc>
        <w:tc>
          <w:tcPr>
            <w:tcW w:w="1140" w:type="dxa"/>
            <w:tcBorders>
              <w:top w:val="nil"/>
              <w:left w:val="nil"/>
              <w:bottom w:val="single" w:sz="4" w:space="0" w:color="auto"/>
              <w:right w:val="single" w:sz="4" w:space="0" w:color="auto"/>
            </w:tcBorders>
            <w:shd w:val="clear" w:color="000000" w:fill="FFFFFF"/>
            <w:noWrap/>
            <w:vAlign w:val="bottom"/>
            <w:hideMark/>
          </w:tcPr>
          <w:p w14:paraId="3E467C5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9668,50</w:t>
            </w:r>
          </w:p>
        </w:tc>
        <w:tc>
          <w:tcPr>
            <w:tcW w:w="1120" w:type="dxa"/>
            <w:tcBorders>
              <w:top w:val="nil"/>
              <w:left w:val="nil"/>
              <w:bottom w:val="single" w:sz="4" w:space="0" w:color="auto"/>
              <w:right w:val="single" w:sz="4" w:space="0" w:color="auto"/>
            </w:tcBorders>
            <w:shd w:val="clear" w:color="000000" w:fill="FFFFFF"/>
            <w:noWrap/>
            <w:vAlign w:val="bottom"/>
            <w:hideMark/>
          </w:tcPr>
          <w:p w14:paraId="311CC18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7952,00</w:t>
            </w:r>
          </w:p>
        </w:tc>
        <w:tc>
          <w:tcPr>
            <w:tcW w:w="931" w:type="dxa"/>
            <w:tcBorders>
              <w:top w:val="nil"/>
              <w:left w:val="nil"/>
              <w:bottom w:val="single" w:sz="4" w:space="0" w:color="auto"/>
              <w:right w:val="single" w:sz="4" w:space="0" w:color="auto"/>
            </w:tcBorders>
            <w:shd w:val="clear" w:color="000000" w:fill="FFFFFF"/>
            <w:noWrap/>
            <w:vAlign w:val="bottom"/>
            <w:hideMark/>
          </w:tcPr>
          <w:p w14:paraId="3738A95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5602,00</w:t>
            </w:r>
          </w:p>
        </w:tc>
        <w:tc>
          <w:tcPr>
            <w:tcW w:w="1219" w:type="dxa"/>
            <w:tcBorders>
              <w:top w:val="nil"/>
              <w:left w:val="nil"/>
              <w:bottom w:val="single" w:sz="4" w:space="0" w:color="auto"/>
              <w:right w:val="single" w:sz="4" w:space="0" w:color="auto"/>
            </w:tcBorders>
            <w:shd w:val="clear" w:color="000000" w:fill="FFFFFF"/>
            <w:noWrap/>
            <w:vAlign w:val="bottom"/>
            <w:hideMark/>
          </w:tcPr>
          <w:p w14:paraId="13C6286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4405,00</w:t>
            </w:r>
          </w:p>
        </w:tc>
        <w:tc>
          <w:tcPr>
            <w:tcW w:w="1075" w:type="dxa"/>
            <w:tcBorders>
              <w:top w:val="nil"/>
              <w:left w:val="nil"/>
              <w:bottom w:val="single" w:sz="4" w:space="0" w:color="auto"/>
              <w:right w:val="single" w:sz="4" w:space="0" w:color="auto"/>
            </w:tcBorders>
            <w:shd w:val="clear" w:color="000000" w:fill="FFFFFF"/>
            <w:noWrap/>
            <w:vAlign w:val="bottom"/>
            <w:hideMark/>
          </w:tcPr>
          <w:p w14:paraId="3408EC8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4222,90</w:t>
            </w:r>
          </w:p>
        </w:tc>
      </w:tr>
      <w:tr w:rsidR="002D4864" w:rsidRPr="00620F58" w14:paraId="13CA188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99B23E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w:t>
            </w:r>
          </w:p>
        </w:tc>
        <w:tc>
          <w:tcPr>
            <w:tcW w:w="1845" w:type="dxa"/>
            <w:tcBorders>
              <w:top w:val="nil"/>
              <w:left w:val="nil"/>
              <w:bottom w:val="single" w:sz="4" w:space="0" w:color="auto"/>
              <w:right w:val="single" w:sz="4" w:space="0" w:color="auto"/>
            </w:tcBorders>
            <w:shd w:val="clear" w:color="000000" w:fill="FFFFFF"/>
            <w:noWrap/>
            <w:vAlign w:val="bottom"/>
            <w:hideMark/>
          </w:tcPr>
          <w:p w14:paraId="7FBCEBB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0DAAEDE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Küdema</w:t>
            </w:r>
          </w:p>
        </w:tc>
        <w:tc>
          <w:tcPr>
            <w:tcW w:w="1075" w:type="dxa"/>
            <w:tcBorders>
              <w:top w:val="nil"/>
              <w:left w:val="nil"/>
              <w:bottom w:val="single" w:sz="4" w:space="0" w:color="auto"/>
              <w:right w:val="single" w:sz="4" w:space="0" w:color="auto"/>
            </w:tcBorders>
            <w:shd w:val="clear" w:color="000000" w:fill="FFFFFF"/>
            <w:noWrap/>
            <w:vAlign w:val="bottom"/>
            <w:hideMark/>
          </w:tcPr>
          <w:p w14:paraId="7175491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869,80</w:t>
            </w:r>
          </w:p>
        </w:tc>
        <w:tc>
          <w:tcPr>
            <w:tcW w:w="1120" w:type="dxa"/>
            <w:tcBorders>
              <w:top w:val="nil"/>
              <w:left w:val="nil"/>
              <w:bottom w:val="single" w:sz="4" w:space="0" w:color="auto"/>
              <w:right w:val="single" w:sz="4" w:space="0" w:color="auto"/>
            </w:tcBorders>
            <w:shd w:val="clear" w:color="000000" w:fill="FFFFFF"/>
            <w:noWrap/>
            <w:vAlign w:val="bottom"/>
            <w:hideMark/>
          </w:tcPr>
          <w:p w14:paraId="3B832FC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1030,00</w:t>
            </w:r>
          </w:p>
        </w:tc>
        <w:tc>
          <w:tcPr>
            <w:tcW w:w="1140" w:type="dxa"/>
            <w:tcBorders>
              <w:top w:val="nil"/>
              <w:left w:val="nil"/>
              <w:bottom w:val="single" w:sz="4" w:space="0" w:color="auto"/>
              <w:right w:val="single" w:sz="4" w:space="0" w:color="auto"/>
            </w:tcBorders>
            <w:shd w:val="clear" w:color="000000" w:fill="FFFFFF"/>
            <w:noWrap/>
            <w:vAlign w:val="bottom"/>
            <w:hideMark/>
          </w:tcPr>
          <w:p w14:paraId="32CCFFD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937,00</w:t>
            </w:r>
          </w:p>
        </w:tc>
        <w:tc>
          <w:tcPr>
            <w:tcW w:w="1120" w:type="dxa"/>
            <w:tcBorders>
              <w:top w:val="nil"/>
              <w:left w:val="nil"/>
              <w:bottom w:val="single" w:sz="4" w:space="0" w:color="auto"/>
              <w:right w:val="single" w:sz="4" w:space="0" w:color="auto"/>
            </w:tcBorders>
            <w:shd w:val="clear" w:color="000000" w:fill="FFFFFF"/>
            <w:noWrap/>
            <w:vAlign w:val="bottom"/>
            <w:hideMark/>
          </w:tcPr>
          <w:p w14:paraId="7D80DD4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229,00</w:t>
            </w:r>
          </w:p>
        </w:tc>
        <w:tc>
          <w:tcPr>
            <w:tcW w:w="931" w:type="dxa"/>
            <w:tcBorders>
              <w:top w:val="nil"/>
              <w:left w:val="nil"/>
              <w:bottom w:val="single" w:sz="4" w:space="0" w:color="auto"/>
              <w:right w:val="single" w:sz="4" w:space="0" w:color="auto"/>
            </w:tcBorders>
            <w:shd w:val="clear" w:color="000000" w:fill="FFFFFF"/>
            <w:noWrap/>
            <w:vAlign w:val="bottom"/>
            <w:hideMark/>
          </w:tcPr>
          <w:p w14:paraId="53B61A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373,00</w:t>
            </w:r>
          </w:p>
        </w:tc>
        <w:tc>
          <w:tcPr>
            <w:tcW w:w="1219" w:type="dxa"/>
            <w:tcBorders>
              <w:top w:val="nil"/>
              <w:left w:val="nil"/>
              <w:bottom w:val="single" w:sz="4" w:space="0" w:color="auto"/>
              <w:right w:val="single" w:sz="4" w:space="0" w:color="auto"/>
            </w:tcBorders>
            <w:shd w:val="clear" w:color="000000" w:fill="FFFFFF"/>
            <w:noWrap/>
            <w:vAlign w:val="bottom"/>
            <w:hideMark/>
          </w:tcPr>
          <w:p w14:paraId="0C14368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724,50</w:t>
            </w:r>
          </w:p>
        </w:tc>
        <w:tc>
          <w:tcPr>
            <w:tcW w:w="1075" w:type="dxa"/>
            <w:tcBorders>
              <w:top w:val="nil"/>
              <w:left w:val="nil"/>
              <w:bottom w:val="single" w:sz="4" w:space="0" w:color="auto"/>
              <w:right w:val="single" w:sz="4" w:space="0" w:color="auto"/>
            </w:tcBorders>
            <w:shd w:val="clear" w:color="000000" w:fill="FFFFFF"/>
            <w:noWrap/>
            <w:vAlign w:val="bottom"/>
            <w:hideMark/>
          </w:tcPr>
          <w:p w14:paraId="7E7CC62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6534,90</w:t>
            </w:r>
          </w:p>
        </w:tc>
      </w:tr>
      <w:tr w:rsidR="002D4864" w:rsidRPr="00620F58" w14:paraId="23FCC3B5"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4B1C284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w:t>
            </w:r>
          </w:p>
        </w:tc>
        <w:tc>
          <w:tcPr>
            <w:tcW w:w="1845" w:type="dxa"/>
            <w:tcBorders>
              <w:top w:val="nil"/>
              <w:left w:val="nil"/>
              <w:bottom w:val="single" w:sz="4" w:space="0" w:color="auto"/>
              <w:right w:val="single" w:sz="4" w:space="0" w:color="auto"/>
            </w:tcBorders>
            <w:shd w:val="clear" w:color="F8CBAD" w:fill="FFFFFF"/>
            <w:noWrap/>
            <w:vAlign w:val="bottom"/>
            <w:hideMark/>
          </w:tcPr>
          <w:p w14:paraId="1242AE0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2319E6E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Külasadama</w:t>
            </w:r>
          </w:p>
        </w:tc>
        <w:tc>
          <w:tcPr>
            <w:tcW w:w="1075" w:type="dxa"/>
            <w:tcBorders>
              <w:top w:val="nil"/>
              <w:left w:val="nil"/>
              <w:bottom w:val="single" w:sz="4" w:space="0" w:color="auto"/>
              <w:right w:val="single" w:sz="4" w:space="0" w:color="auto"/>
            </w:tcBorders>
            <w:shd w:val="clear" w:color="F8CBAD" w:fill="FFFFFF"/>
            <w:noWrap/>
            <w:vAlign w:val="bottom"/>
            <w:hideMark/>
          </w:tcPr>
          <w:p w14:paraId="33BD036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7537DF6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7B81741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304F66E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712B8FF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4,00</w:t>
            </w:r>
          </w:p>
        </w:tc>
        <w:tc>
          <w:tcPr>
            <w:tcW w:w="1219" w:type="dxa"/>
            <w:tcBorders>
              <w:top w:val="nil"/>
              <w:left w:val="nil"/>
              <w:bottom w:val="single" w:sz="4" w:space="0" w:color="auto"/>
              <w:right w:val="single" w:sz="4" w:space="0" w:color="auto"/>
            </w:tcBorders>
            <w:shd w:val="clear" w:color="F8CBAD" w:fill="FFFFFF"/>
            <w:noWrap/>
            <w:vAlign w:val="bottom"/>
            <w:hideMark/>
          </w:tcPr>
          <w:p w14:paraId="2F3E239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7DE70D7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6E0043E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2ECCE3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43</w:t>
            </w:r>
          </w:p>
        </w:tc>
        <w:tc>
          <w:tcPr>
            <w:tcW w:w="1845" w:type="dxa"/>
            <w:tcBorders>
              <w:top w:val="nil"/>
              <w:left w:val="nil"/>
              <w:bottom w:val="single" w:sz="4" w:space="0" w:color="auto"/>
              <w:right w:val="single" w:sz="4" w:space="0" w:color="auto"/>
            </w:tcBorders>
            <w:shd w:val="clear" w:color="000000" w:fill="FFFFFF"/>
            <w:noWrap/>
            <w:vAlign w:val="bottom"/>
            <w:hideMark/>
          </w:tcPr>
          <w:p w14:paraId="41AF2D0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85F4FB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Labuna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B82081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688,00</w:t>
            </w:r>
          </w:p>
        </w:tc>
        <w:tc>
          <w:tcPr>
            <w:tcW w:w="1120" w:type="dxa"/>
            <w:tcBorders>
              <w:top w:val="nil"/>
              <w:left w:val="nil"/>
              <w:bottom w:val="single" w:sz="4" w:space="0" w:color="auto"/>
              <w:right w:val="single" w:sz="4" w:space="0" w:color="auto"/>
            </w:tcBorders>
            <w:shd w:val="clear" w:color="000000" w:fill="FFFFFF"/>
            <w:noWrap/>
            <w:vAlign w:val="bottom"/>
            <w:hideMark/>
          </w:tcPr>
          <w:p w14:paraId="467CD6F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6657,00</w:t>
            </w:r>
          </w:p>
        </w:tc>
        <w:tc>
          <w:tcPr>
            <w:tcW w:w="1140" w:type="dxa"/>
            <w:tcBorders>
              <w:top w:val="nil"/>
              <w:left w:val="nil"/>
              <w:bottom w:val="single" w:sz="4" w:space="0" w:color="auto"/>
              <w:right w:val="single" w:sz="4" w:space="0" w:color="auto"/>
            </w:tcBorders>
            <w:shd w:val="clear" w:color="000000" w:fill="FFFFFF"/>
            <w:noWrap/>
            <w:vAlign w:val="bottom"/>
            <w:hideMark/>
          </w:tcPr>
          <w:p w14:paraId="3E5054C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12595,00</w:t>
            </w:r>
          </w:p>
        </w:tc>
        <w:tc>
          <w:tcPr>
            <w:tcW w:w="1120" w:type="dxa"/>
            <w:tcBorders>
              <w:top w:val="nil"/>
              <w:left w:val="nil"/>
              <w:bottom w:val="single" w:sz="4" w:space="0" w:color="auto"/>
              <w:right w:val="single" w:sz="4" w:space="0" w:color="auto"/>
            </w:tcBorders>
            <w:shd w:val="clear" w:color="000000" w:fill="FFFFFF"/>
            <w:noWrap/>
            <w:vAlign w:val="bottom"/>
            <w:hideMark/>
          </w:tcPr>
          <w:p w14:paraId="2AD1C20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11393,50</w:t>
            </w:r>
          </w:p>
        </w:tc>
        <w:tc>
          <w:tcPr>
            <w:tcW w:w="931" w:type="dxa"/>
            <w:tcBorders>
              <w:top w:val="nil"/>
              <w:left w:val="nil"/>
              <w:bottom w:val="single" w:sz="4" w:space="0" w:color="auto"/>
              <w:right w:val="single" w:sz="4" w:space="0" w:color="auto"/>
            </w:tcBorders>
            <w:shd w:val="clear" w:color="000000" w:fill="FFFFFF"/>
            <w:noWrap/>
            <w:vAlign w:val="bottom"/>
            <w:hideMark/>
          </w:tcPr>
          <w:p w14:paraId="4C0CFE3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9639,00</w:t>
            </w:r>
          </w:p>
        </w:tc>
        <w:tc>
          <w:tcPr>
            <w:tcW w:w="1219" w:type="dxa"/>
            <w:tcBorders>
              <w:top w:val="nil"/>
              <w:left w:val="nil"/>
              <w:bottom w:val="single" w:sz="4" w:space="0" w:color="auto"/>
              <w:right w:val="single" w:sz="4" w:space="0" w:color="auto"/>
            </w:tcBorders>
            <w:shd w:val="clear" w:color="000000" w:fill="FFFFFF"/>
            <w:noWrap/>
            <w:vAlign w:val="bottom"/>
            <w:hideMark/>
          </w:tcPr>
          <w:p w14:paraId="2981CAB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11695,30</w:t>
            </w:r>
          </w:p>
        </w:tc>
        <w:tc>
          <w:tcPr>
            <w:tcW w:w="1075" w:type="dxa"/>
            <w:tcBorders>
              <w:top w:val="nil"/>
              <w:left w:val="nil"/>
              <w:bottom w:val="single" w:sz="4" w:space="0" w:color="auto"/>
              <w:right w:val="single" w:sz="4" w:space="0" w:color="auto"/>
            </w:tcBorders>
            <w:shd w:val="clear" w:color="000000" w:fill="FFFFFF"/>
            <w:noWrap/>
            <w:vAlign w:val="bottom"/>
            <w:hideMark/>
          </w:tcPr>
          <w:p w14:paraId="7349B70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11845,00</w:t>
            </w:r>
          </w:p>
        </w:tc>
      </w:tr>
      <w:tr w:rsidR="002D4864" w:rsidRPr="00620F58" w14:paraId="04E78545"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1B39577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w:t>
            </w:r>
          </w:p>
        </w:tc>
        <w:tc>
          <w:tcPr>
            <w:tcW w:w="1845" w:type="dxa"/>
            <w:tcBorders>
              <w:top w:val="nil"/>
              <w:left w:val="nil"/>
              <w:bottom w:val="single" w:sz="4" w:space="0" w:color="auto"/>
              <w:right w:val="single" w:sz="4" w:space="0" w:color="auto"/>
            </w:tcBorders>
            <w:shd w:val="clear" w:color="F8CBAD" w:fill="FFFFFF"/>
            <w:noWrap/>
            <w:vAlign w:val="bottom"/>
            <w:hideMark/>
          </w:tcPr>
          <w:p w14:paraId="01DD881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2ABB7B2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Laevanina</w:t>
            </w:r>
          </w:p>
        </w:tc>
        <w:tc>
          <w:tcPr>
            <w:tcW w:w="1075" w:type="dxa"/>
            <w:tcBorders>
              <w:top w:val="nil"/>
              <w:left w:val="nil"/>
              <w:bottom w:val="single" w:sz="4" w:space="0" w:color="auto"/>
              <w:right w:val="single" w:sz="4" w:space="0" w:color="auto"/>
            </w:tcBorders>
            <w:shd w:val="clear" w:color="F8CBAD" w:fill="FFFFFF"/>
            <w:noWrap/>
            <w:vAlign w:val="bottom"/>
            <w:hideMark/>
          </w:tcPr>
          <w:p w14:paraId="756F7C7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51073CD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1DB6134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c>
          <w:tcPr>
            <w:tcW w:w="1120" w:type="dxa"/>
            <w:tcBorders>
              <w:top w:val="nil"/>
              <w:left w:val="nil"/>
              <w:bottom w:val="single" w:sz="4" w:space="0" w:color="auto"/>
              <w:right w:val="single" w:sz="4" w:space="0" w:color="auto"/>
            </w:tcBorders>
            <w:shd w:val="clear" w:color="F8CBAD" w:fill="FFFFFF"/>
            <w:noWrap/>
            <w:vAlign w:val="bottom"/>
            <w:hideMark/>
          </w:tcPr>
          <w:p w14:paraId="6D0F028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34,00</w:t>
            </w:r>
          </w:p>
        </w:tc>
        <w:tc>
          <w:tcPr>
            <w:tcW w:w="931" w:type="dxa"/>
            <w:tcBorders>
              <w:top w:val="nil"/>
              <w:left w:val="nil"/>
              <w:bottom w:val="single" w:sz="4" w:space="0" w:color="auto"/>
              <w:right w:val="single" w:sz="4" w:space="0" w:color="auto"/>
            </w:tcBorders>
            <w:shd w:val="clear" w:color="F8CBAD" w:fill="FFFFFF"/>
            <w:noWrap/>
            <w:vAlign w:val="bottom"/>
            <w:hideMark/>
          </w:tcPr>
          <w:p w14:paraId="73DFFC0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72D4B1C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64B4BDF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780EB0F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0F05CD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w:t>
            </w:r>
          </w:p>
        </w:tc>
        <w:tc>
          <w:tcPr>
            <w:tcW w:w="1845" w:type="dxa"/>
            <w:tcBorders>
              <w:top w:val="nil"/>
              <w:left w:val="nil"/>
              <w:bottom w:val="single" w:sz="4" w:space="0" w:color="auto"/>
              <w:right w:val="single" w:sz="4" w:space="0" w:color="auto"/>
            </w:tcBorders>
            <w:shd w:val="clear" w:color="000000" w:fill="FFFFFF"/>
            <w:noWrap/>
            <w:vAlign w:val="bottom"/>
            <w:hideMark/>
          </w:tcPr>
          <w:p w14:paraId="602592F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C84142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Lahetaguse</w:t>
            </w:r>
          </w:p>
        </w:tc>
        <w:tc>
          <w:tcPr>
            <w:tcW w:w="1075" w:type="dxa"/>
            <w:tcBorders>
              <w:top w:val="nil"/>
              <w:left w:val="nil"/>
              <w:bottom w:val="single" w:sz="4" w:space="0" w:color="auto"/>
              <w:right w:val="single" w:sz="4" w:space="0" w:color="auto"/>
            </w:tcBorders>
            <w:shd w:val="clear" w:color="000000" w:fill="FFFFFF"/>
            <w:noWrap/>
            <w:vAlign w:val="bottom"/>
            <w:hideMark/>
          </w:tcPr>
          <w:p w14:paraId="1205F0C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8023,00</w:t>
            </w:r>
          </w:p>
        </w:tc>
        <w:tc>
          <w:tcPr>
            <w:tcW w:w="1120" w:type="dxa"/>
            <w:tcBorders>
              <w:top w:val="nil"/>
              <w:left w:val="nil"/>
              <w:bottom w:val="single" w:sz="4" w:space="0" w:color="auto"/>
              <w:right w:val="single" w:sz="4" w:space="0" w:color="auto"/>
            </w:tcBorders>
            <w:shd w:val="clear" w:color="000000" w:fill="FFFFFF"/>
            <w:noWrap/>
            <w:vAlign w:val="bottom"/>
            <w:hideMark/>
          </w:tcPr>
          <w:p w14:paraId="08F2457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8159,00</w:t>
            </w:r>
          </w:p>
        </w:tc>
        <w:tc>
          <w:tcPr>
            <w:tcW w:w="1140" w:type="dxa"/>
            <w:tcBorders>
              <w:top w:val="nil"/>
              <w:left w:val="nil"/>
              <w:bottom w:val="single" w:sz="4" w:space="0" w:color="auto"/>
              <w:right w:val="single" w:sz="4" w:space="0" w:color="auto"/>
            </w:tcBorders>
            <w:shd w:val="clear" w:color="000000" w:fill="FFFFFF"/>
            <w:noWrap/>
            <w:vAlign w:val="bottom"/>
            <w:hideMark/>
          </w:tcPr>
          <w:p w14:paraId="515F3A1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4438,00</w:t>
            </w:r>
          </w:p>
        </w:tc>
        <w:tc>
          <w:tcPr>
            <w:tcW w:w="1120" w:type="dxa"/>
            <w:tcBorders>
              <w:top w:val="nil"/>
              <w:left w:val="nil"/>
              <w:bottom w:val="single" w:sz="4" w:space="0" w:color="auto"/>
              <w:right w:val="single" w:sz="4" w:space="0" w:color="auto"/>
            </w:tcBorders>
            <w:shd w:val="clear" w:color="000000" w:fill="FFFFFF"/>
            <w:noWrap/>
            <w:vAlign w:val="bottom"/>
            <w:hideMark/>
          </w:tcPr>
          <w:p w14:paraId="4D44AB7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3933,00</w:t>
            </w:r>
          </w:p>
        </w:tc>
        <w:tc>
          <w:tcPr>
            <w:tcW w:w="931" w:type="dxa"/>
            <w:tcBorders>
              <w:top w:val="nil"/>
              <w:left w:val="nil"/>
              <w:bottom w:val="single" w:sz="4" w:space="0" w:color="auto"/>
              <w:right w:val="single" w:sz="4" w:space="0" w:color="auto"/>
            </w:tcBorders>
            <w:shd w:val="clear" w:color="000000" w:fill="FFFFFF"/>
            <w:noWrap/>
            <w:vAlign w:val="bottom"/>
            <w:hideMark/>
          </w:tcPr>
          <w:p w14:paraId="5E72108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3114,00</w:t>
            </w:r>
          </w:p>
        </w:tc>
        <w:tc>
          <w:tcPr>
            <w:tcW w:w="1219" w:type="dxa"/>
            <w:tcBorders>
              <w:top w:val="nil"/>
              <w:left w:val="nil"/>
              <w:bottom w:val="single" w:sz="4" w:space="0" w:color="auto"/>
              <w:right w:val="single" w:sz="4" w:space="0" w:color="auto"/>
            </w:tcBorders>
            <w:shd w:val="clear" w:color="000000" w:fill="FFFFFF"/>
            <w:noWrap/>
            <w:vAlign w:val="bottom"/>
            <w:hideMark/>
          </w:tcPr>
          <w:p w14:paraId="58EFE16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2312,00</w:t>
            </w:r>
          </w:p>
        </w:tc>
        <w:tc>
          <w:tcPr>
            <w:tcW w:w="1075" w:type="dxa"/>
            <w:tcBorders>
              <w:top w:val="nil"/>
              <w:left w:val="nil"/>
              <w:bottom w:val="single" w:sz="4" w:space="0" w:color="auto"/>
              <w:right w:val="single" w:sz="4" w:space="0" w:color="auto"/>
            </w:tcBorders>
            <w:shd w:val="clear" w:color="000000" w:fill="FFFFFF"/>
            <w:noWrap/>
            <w:vAlign w:val="bottom"/>
            <w:hideMark/>
          </w:tcPr>
          <w:p w14:paraId="05A723A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4728,50</w:t>
            </w:r>
          </w:p>
        </w:tc>
      </w:tr>
      <w:tr w:rsidR="002D4864" w:rsidRPr="00620F58" w14:paraId="1D9E6675"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66A755D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w:t>
            </w:r>
          </w:p>
        </w:tc>
        <w:tc>
          <w:tcPr>
            <w:tcW w:w="1845" w:type="dxa"/>
            <w:tcBorders>
              <w:top w:val="nil"/>
              <w:left w:val="nil"/>
              <w:bottom w:val="single" w:sz="4" w:space="0" w:color="auto"/>
              <w:right w:val="single" w:sz="4" w:space="0" w:color="auto"/>
            </w:tcBorders>
            <w:shd w:val="clear" w:color="F8CBAD" w:fill="FFFFFF"/>
            <w:noWrap/>
            <w:vAlign w:val="bottom"/>
            <w:hideMark/>
          </w:tcPr>
          <w:p w14:paraId="3C94BA7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30C1A11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Laidunina</w:t>
            </w:r>
            <w:proofErr w:type="spellEnd"/>
          </w:p>
        </w:tc>
        <w:tc>
          <w:tcPr>
            <w:tcW w:w="1075" w:type="dxa"/>
            <w:tcBorders>
              <w:top w:val="nil"/>
              <w:left w:val="nil"/>
              <w:bottom w:val="single" w:sz="4" w:space="0" w:color="auto"/>
              <w:right w:val="single" w:sz="4" w:space="0" w:color="auto"/>
            </w:tcBorders>
            <w:shd w:val="clear" w:color="F8CBAD" w:fill="FFFFFF"/>
            <w:noWrap/>
            <w:vAlign w:val="bottom"/>
            <w:hideMark/>
          </w:tcPr>
          <w:p w14:paraId="0F4E155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4194D17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0533B00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2AF5879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c>
          <w:tcPr>
            <w:tcW w:w="931" w:type="dxa"/>
            <w:tcBorders>
              <w:top w:val="nil"/>
              <w:left w:val="nil"/>
              <w:bottom w:val="single" w:sz="4" w:space="0" w:color="auto"/>
              <w:right w:val="single" w:sz="4" w:space="0" w:color="auto"/>
            </w:tcBorders>
            <w:shd w:val="clear" w:color="F8CBAD" w:fill="FFFFFF"/>
            <w:noWrap/>
            <w:vAlign w:val="bottom"/>
            <w:hideMark/>
          </w:tcPr>
          <w:p w14:paraId="285F6D6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6FF5793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3738EB0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6C41FA89"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0CD5F5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w:t>
            </w:r>
          </w:p>
        </w:tc>
        <w:tc>
          <w:tcPr>
            <w:tcW w:w="1845" w:type="dxa"/>
            <w:tcBorders>
              <w:top w:val="nil"/>
              <w:left w:val="nil"/>
              <w:bottom w:val="single" w:sz="4" w:space="0" w:color="auto"/>
              <w:right w:val="single" w:sz="4" w:space="0" w:color="auto"/>
            </w:tcBorders>
            <w:shd w:val="clear" w:color="000000" w:fill="FFFFFF"/>
            <w:noWrap/>
            <w:vAlign w:val="bottom"/>
            <w:hideMark/>
          </w:tcPr>
          <w:p w14:paraId="41CF2EF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444AD4C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Laiduse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05D20F4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66A175C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5B3042B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657C1DC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2326,30</w:t>
            </w:r>
          </w:p>
        </w:tc>
        <w:tc>
          <w:tcPr>
            <w:tcW w:w="931" w:type="dxa"/>
            <w:tcBorders>
              <w:top w:val="nil"/>
              <w:left w:val="nil"/>
              <w:bottom w:val="single" w:sz="4" w:space="0" w:color="auto"/>
              <w:right w:val="single" w:sz="4" w:space="0" w:color="auto"/>
            </w:tcBorders>
            <w:shd w:val="clear" w:color="000000" w:fill="FFFFFF"/>
            <w:noWrap/>
            <w:vAlign w:val="bottom"/>
            <w:hideMark/>
          </w:tcPr>
          <w:p w14:paraId="658F371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4696,00</w:t>
            </w:r>
          </w:p>
        </w:tc>
        <w:tc>
          <w:tcPr>
            <w:tcW w:w="1219" w:type="dxa"/>
            <w:tcBorders>
              <w:top w:val="nil"/>
              <w:left w:val="nil"/>
              <w:bottom w:val="single" w:sz="4" w:space="0" w:color="auto"/>
              <w:right w:val="single" w:sz="4" w:space="0" w:color="auto"/>
            </w:tcBorders>
            <w:shd w:val="clear" w:color="000000" w:fill="FFFFFF"/>
            <w:noWrap/>
            <w:vAlign w:val="bottom"/>
            <w:hideMark/>
          </w:tcPr>
          <w:p w14:paraId="4240E7A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11697,20</w:t>
            </w:r>
          </w:p>
        </w:tc>
        <w:tc>
          <w:tcPr>
            <w:tcW w:w="1075" w:type="dxa"/>
            <w:tcBorders>
              <w:top w:val="nil"/>
              <w:left w:val="nil"/>
              <w:bottom w:val="single" w:sz="4" w:space="0" w:color="auto"/>
              <w:right w:val="single" w:sz="4" w:space="0" w:color="auto"/>
            </w:tcBorders>
            <w:shd w:val="clear" w:color="000000" w:fill="FFFFFF"/>
            <w:noWrap/>
            <w:vAlign w:val="bottom"/>
            <w:hideMark/>
          </w:tcPr>
          <w:p w14:paraId="4F041FB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17726,00</w:t>
            </w:r>
          </w:p>
        </w:tc>
      </w:tr>
      <w:tr w:rsidR="002D4864" w:rsidRPr="00620F58" w14:paraId="6500AAE2"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A353D0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48</w:t>
            </w:r>
          </w:p>
        </w:tc>
        <w:tc>
          <w:tcPr>
            <w:tcW w:w="1845" w:type="dxa"/>
            <w:tcBorders>
              <w:top w:val="nil"/>
              <w:left w:val="nil"/>
              <w:bottom w:val="single" w:sz="4" w:space="0" w:color="auto"/>
              <w:right w:val="single" w:sz="4" w:space="0" w:color="auto"/>
            </w:tcBorders>
            <w:shd w:val="clear" w:color="000000" w:fill="FFFFFF"/>
            <w:noWrap/>
            <w:vAlign w:val="bottom"/>
            <w:hideMark/>
          </w:tcPr>
          <w:p w14:paraId="2773E92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24C33C7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Lassi</w:t>
            </w:r>
          </w:p>
        </w:tc>
        <w:tc>
          <w:tcPr>
            <w:tcW w:w="1075" w:type="dxa"/>
            <w:tcBorders>
              <w:top w:val="nil"/>
              <w:left w:val="nil"/>
              <w:bottom w:val="single" w:sz="4" w:space="0" w:color="auto"/>
              <w:right w:val="single" w:sz="4" w:space="0" w:color="auto"/>
            </w:tcBorders>
            <w:shd w:val="clear" w:color="000000" w:fill="FFFFFF"/>
            <w:noWrap/>
            <w:vAlign w:val="bottom"/>
            <w:hideMark/>
          </w:tcPr>
          <w:p w14:paraId="70F3011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1469,50</w:t>
            </w:r>
          </w:p>
        </w:tc>
        <w:tc>
          <w:tcPr>
            <w:tcW w:w="1120" w:type="dxa"/>
            <w:tcBorders>
              <w:top w:val="nil"/>
              <w:left w:val="nil"/>
              <w:bottom w:val="single" w:sz="4" w:space="0" w:color="auto"/>
              <w:right w:val="single" w:sz="4" w:space="0" w:color="auto"/>
            </w:tcBorders>
            <w:shd w:val="clear" w:color="000000" w:fill="FFFFFF"/>
            <w:noWrap/>
            <w:vAlign w:val="bottom"/>
            <w:hideMark/>
          </w:tcPr>
          <w:p w14:paraId="357D85C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1750,00</w:t>
            </w:r>
          </w:p>
        </w:tc>
        <w:tc>
          <w:tcPr>
            <w:tcW w:w="1140" w:type="dxa"/>
            <w:tcBorders>
              <w:top w:val="nil"/>
              <w:left w:val="nil"/>
              <w:bottom w:val="single" w:sz="4" w:space="0" w:color="auto"/>
              <w:right w:val="single" w:sz="4" w:space="0" w:color="auto"/>
            </w:tcBorders>
            <w:shd w:val="clear" w:color="000000" w:fill="FFFFFF"/>
            <w:noWrap/>
            <w:vAlign w:val="bottom"/>
            <w:hideMark/>
          </w:tcPr>
          <w:p w14:paraId="2B81122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2342,50</w:t>
            </w:r>
          </w:p>
        </w:tc>
        <w:tc>
          <w:tcPr>
            <w:tcW w:w="1120" w:type="dxa"/>
            <w:tcBorders>
              <w:top w:val="nil"/>
              <w:left w:val="nil"/>
              <w:bottom w:val="single" w:sz="4" w:space="0" w:color="auto"/>
              <w:right w:val="single" w:sz="4" w:space="0" w:color="auto"/>
            </w:tcBorders>
            <w:shd w:val="clear" w:color="000000" w:fill="FFFFFF"/>
            <w:noWrap/>
            <w:vAlign w:val="bottom"/>
            <w:hideMark/>
          </w:tcPr>
          <w:p w14:paraId="11A2689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1795,00</w:t>
            </w:r>
          </w:p>
        </w:tc>
        <w:tc>
          <w:tcPr>
            <w:tcW w:w="931" w:type="dxa"/>
            <w:tcBorders>
              <w:top w:val="nil"/>
              <w:left w:val="nil"/>
              <w:bottom w:val="single" w:sz="4" w:space="0" w:color="auto"/>
              <w:right w:val="single" w:sz="4" w:space="0" w:color="auto"/>
            </w:tcBorders>
            <w:shd w:val="clear" w:color="000000" w:fill="FFFFFF"/>
            <w:noWrap/>
            <w:vAlign w:val="bottom"/>
            <w:hideMark/>
          </w:tcPr>
          <w:p w14:paraId="1E933D7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1746,00</w:t>
            </w:r>
          </w:p>
        </w:tc>
        <w:tc>
          <w:tcPr>
            <w:tcW w:w="1219" w:type="dxa"/>
            <w:tcBorders>
              <w:top w:val="nil"/>
              <w:left w:val="nil"/>
              <w:bottom w:val="single" w:sz="4" w:space="0" w:color="auto"/>
              <w:right w:val="single" w:sz="4" w:space="0" w:color="auto"/>
            </w:tcBorders>
            <w:shd w:val="clear" w:color="000000" w:fill="FFFFFF"/>
            <w:noWrap/>
            <w:vAlign w:val="bottom"/>
            <w:hideMark/>
          </w:tcPr>
          <w:p w14:paraId="11A9416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2185,50</w:t>
            </w:r>
          </w:p>
        </w:tc>
        <w:tc>
          <w:tcPr>
            <w:tcW w:w="1075" w:type="dxa"/>
            <w:tcBorders>
              <w:top w:val="nil"/>
              <w:left w:val="nil"/>
              <w:bottom w:val="single" w:sz="4" w:space="0" w:color="auto"/>
              <w:right w:val="single" w:sz="4" w:space="0" w:color="auto"/>
            </w:tcBorders>
            <w:shd w:val="clear" w:color="000000" w:fill="FFFFFF"/>
            <w:noWrap/>
            <w:vAlign w:val="bottom"/>
            <w:hideMark/>
          </w:tcPr>
          <w:p w14:paraId="253E604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4284,30</w:t>
            </w:r>
          </w:p>
        </w:tc>
      </w:tr>
      <w:tr w:rsidR="002D4864" w:rsidRPr="00620F58" w14:paraId="40997FD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5A87C3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49</w:t>
            </w:r>
          </w:p>
        </w:tc>
        <w:tc>
          <w:tcPr>
            <w:tcW w:w="1845" w:type="dxa"/>
            <w:tcBorders>
              <w:top w:val="nil"/>
              <w:left w:val="nil"/>
              <w:bottom w:val="single" w:sz="4" w:space="0" w:color="auto"/>
              <w:right w:val="single" w:sz="4" w:space="0" w:color="auto"/>
            </w:tcBorders>
            <w:shd w:val="clear" w:color="000000" w:fill="FFFFFF"/>
            <w:noWrap/>
            <w:vAlign w:val="bottom"/>
            <w:hideMark/>
          </w:tcPr>
          <w:p w14:paraId="0BB1205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2532A0D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Lautri- Saareküla</w:t>
            </w:r>
          </w:p>
        </w:tc>
        <w:tc>
          <w:tcPr>
            <w:tcW w:w="1075" w:type="dxa"/>
            <w:tcBorders>
              <w:top w:val="nil"/>
              <w:left w:val="nil"/>
              <w:bottom w:val="single" w:sz="4" w:space="0" w:color="auto"/>
              <w:right w:val="single" w:sz="4" w:space="0" w:color="auto"/>
            </w:tcBorders>
            <w:shd w:val="clear" w:color="000000" w:fill="FFFFFF"/>
            <w:noWrap/>
            <w:vAlign w:val="bottom"/>
            <w:hideMark/>
          </w:tcPr>
          <w:p w14:paraId="22504B6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6256,00</w:t>
            </w:r>
          </w:p>
        </w:tc>
        <w:tc>
          <w:tcPr>
            <w:tcW w:w="1120" w:type="dxa"/>
            <w:tcBorders>
              <w:top w:val="nil"/>
              <w:left w:val="nil"/>
              <w:bottom w:val="single" w:sz="4" w:space="0" w:color="auto"/>
              <w:right w:val="single" w:sz="4" w:space="0" w:color="auto"/>
            </w:tcBorders>
            <w:shd w:val="clear" w:color="000000" w:fill="FFFFFF"/>
            <w:noWrap/>
            <w:vAlign w:val="bottom"/>
            <w:hideMark/>
          </w:tcPr>
          <w:p w14:paraId="7D69108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6526,00</w:t>
            </w:r>
          </w:p>
        </w:tc>
        <w:tc>
          <w:tcPr>
            <w:tcW w:w="1140" w:type="dxa"/>
            <w:tcBorders>
              <w:top w:val="nil"/>
              <w:left w:val="nil"/>
              <w:bottom w:val="single" w:sz="4" w:space="0" w:color="auto"/>
              <w:right w:val="single" w:sz="4" w:space="0" w:color="auto"/>
            </w:tcBorders>
            <w:shd w:val="clear" w:color="000000" w:fill="FFFFFF"/>
            <w:noWrap/>
            <w:vAlign w:val="bottom"/>
            <w:hideMark/>
          </w:tcPr>
          <w:p w14:paraId="42ABAC5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7921,50</w:t>
            </w:r>
          </w:p>
        </w:tc>
        <w:tc>
          <w:tcPr>
            <w:tcW w:w="1120" w:type="dxa"/>
            <w:tcBorders>
              <w:top w:val="nil"/>
              <w:left w:val="nil"/>
              <w:bottom w:val="single" w:sz="4" w:space="0" w:color="auto"/>
              <w:right w:val="single" w:sz="4" w:space="0" w:color="auto"/>
            </w:tcBorders>
            <w:shd w:val="clear" w:color="000000" w:fill="FFFFFF"/>
            <w:noWrap/>
            <w:vAlign w:val="bottom"/>
            <w:hideMark/>
          </w:tcPr>
          <w:p w14:paraId="4EFE456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5986,00</w:t>
            </w:r>
          </w:p>
        </w:tc>
        <w:tc>
          <w:tcPr>
            <w:tcW w:w="931" w:type="dxa"/>
            <w:tcBorders>
              <w:top w:val="nil"/>
              <w:left w:val="nil"/>
              <w:bottom w:val="single" w:sz="4" w:space="0" w:color="auto"/>
              <w:right w:val="single" w:sz="4" w:space="0" w:color="auto"/>
            </w:tcBorders>
            <w:shd w:val="clear" w:color="000000" w:fill="FFFFFF"/>
            <w:noWrap/>
            <w:vAlign w:val="bottom"/>
            <w:hideMark/>
          </w:tcPr>
          <w:p w14:paraId="0BB9D0D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6069,00</w:t>
            </w:r>
          </w:p>
        </w:tc>
        <w:tc>
          <w:tcPr>
            <w:tcW w:w="1219" w:type="dxa"/>
            <w:tcBorders>
              <w:top w:val="nil"/>
              <w:left w:val="nil"/>
              <w:bottom w:val="single" w:sz="4" w:space="0" w:color="auto"/>
              <w:right w:val="single" w:sz="4" w:space="0" w:color="auto"/>
            </w:tcBorders>
            <w:shd w:val="clear" w:color="000000" w:fill="FFFFFF"/>
            <w:noWrap/>
            <w:vAlign w:val="bottom"/>
            <w:hideMark/>
          </w:tcPr>
          <w:p w14:paraId="728EBAE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6144,00</w:t>
            </w:r>
          </w:p>
        </w:tc>
        <w:tc>
          <w:tcPr>
            <w:tcW w:w="1075" w:type="dxa"/>
            <w:tcBorders>
              <w:top w:val="nil"/>
              <w:left w:val="nil"/>
              <w:bottom w:val="single" w:sz="4" w:space="0" w:color="auto"/>
              <w:right w:val="single" w:sz="4" w:space="0" w:color="auto"/>
            </w:tcBorders>
            <w:shd w:val="clear" w:color="000000" w:fill="FFFFFF"/>
            <w:noWrap/>
            <w:vAlign w:val="bottom"/>
            <w:hideMark/>
          </w:tcPr>
          <w:p w14:paraId="68A5ED9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3983,00</w:t>
            </w:r>
          </w:p>
        </w:tc>
      </w:tr>
      <w:tr w:rsidR="002D4864" w:rsidRPr="00620F58" w14:paraId="23758A7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BCB4DB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w:t>
            </w:r>
          </w:p>
        </w:tc>
        <w:tc>
          <w:tcPr>
            <w:tcW w:w="1845" w:type="dxa"/>
            <w:tcBorders>
              <w:top w:val="nil"/>
              <w:left w:val="nil"/>
              <w:bottom w:val="single" w:sz="4" w:space="0" w:color="auto"/>
              <w:right w:val="single" w:sz="4" w:space="0" w:color="auto"/>
            </w:tcBorders>
            <w:shd w:val="clear" w:color="000000" w:fill="FFFFFF"/>
            <w:noWrap/>
            <w:vAlign w:val="bottom"/>
            <w:hideMark/>
          </w:tcPr>
          <w:p w14:paraId="2170B50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BDCAD3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Lindmetsa</w:t>
            </w:r>
          </w:p>
        </w:tc>
        <w:tc>
          <w:tcPr>
            <w:tcW w:w="1075" w:type="dxa"/>
            <w:tcBorders>
              <w:top w:val="nil"/>
              <w:left w:val="nil"/>
              <w:bottom w:val="single" w:sz="4" w:space="0" w:color="auto"/>
              <w:right w:val="single" w:sz="4" w:space="0" w:color="auto"/>
            </w:tcBorders>
            <w:shd w:val="clear" w:color="000000" w:fill="FFFFFF"/>
            <w:noWrap/>
            <w:vAlign w:val="bottom"/>
            <w:hideMark/>
          </w:tcPr>
          <w:p w14:paraId="5BED3C1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22,00</w:t>
            </w:r>
          </w:p>
        </w:tc>
        <w:tc>
          <w:tcPr>
            <w:tcW w:w="1120" w:type="dxa"/>
            <w:tcBorders>
              <w:top w:val="nil"/>
              <w:left w:val="nil"/>
              <w:bottom w:val="single" w:sz="4" w:space="0" w:color="auto"/>
              <w:right w:val="single" w:sz="4" w:space="0" w:color="auto"/>
            </w:tcBorders>
            <w:shd w:val="clear" w:color="000000" w:fill="FFFFFF"/>
            <w:noWrap/>
            <w:vAlign w:val="bottom"/>
            <w:hideMark/>
          </w:tcPr>
          <w:p w14:paraId="372731F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75B4DB5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116,00</w:t>
            </w:r>
          </w:p>
        </w:tc>
        <w:tc>
          <w:tcPr>
            <w:tcW w:w="1120" w:type="dxa"/>
            <w:tcBorders>
              <w:top w:val="nil"/>
              <w:left w:val="nil"/>
              <w:bottom w:val="single" w:sz="4" w:space="0" w:color="auto"/>
              <w:right w:val="single" w:sz="4" w:space="0" w:color="auto"/>
            </w:tcBorders>
            <w:shd w:val="clear" w:color="000000" w:fill="FFFFFF"/>
            <w:noWrap/>
            <w:vAlign w:val="bottom"/>
            <w:hideMark/>
          </w:tcPr>
          <w:p w14:paraId="364FC08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550,50</w:t>
            </w:r>
          </w:p>
        </w:tc>
        <w:tc>
          <w:tcPr>
            <w:tcW w:w="931" w:type="dxa"/>
            <w:tcBorders>
              <w:top w:val="nil"/>
              <w:left w:val="nil"/>
              <w:bottom w:val="single" w:sz="4" w:space="0" w:color="auto"/>
              <w:right w:val="single" w:sz="4" w:space="0" w:color="auto"/>
            </w:tcBorders>
            <w:shd w:val="clear" w:color="000000" w:fill="FFFFFF"/>
            <w:noWrap/>
            <w:vAlign w:val="bottom"/>
            <w:hideMark/>
          </w:tcPr>
          <w:p w14:paraId="2C998A6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29,00</w:t>
            </w:r>
          </w:p>
        </w:tc>
        <w:tc>
          <w:tcPr>
            <w:tcW w:w="1219" w:type="dxa"/>
            <w:tcBorders>
              <w:top w:val="nil"/>
              <w:left w:val="nil"/>
              <w:bottom w:val="single" w:sz="4" w:space="0" w:color="auto"/>
              <w:right w:val="single" w:sz="4" w:space="0" w:color="auto"/>
            </w:tcBorders>
            <w:shd w:val="clear" w:color="000000" w:fill="FFFFFF"/>
            <w:noWrap/>
            <w:vAlign w:val="bottom"/>
            <w:hideMark/>
          </w:tcPr>
          <w:p w14:paraId="195F745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318,00</w:t>
            </w:r>
          </w:p>
        </w:tc>
        <w:tc>
          <w:tcPr>
            <w:tcW w:w="1075" w:type="dxa"/>
            <w:tcBorders>
              <w:top w:val="nil"/>
              <w:left w:val="nil"/>
              <w:bottom w:val="single" w:sz="4" w:space="0" w:color="auto"/>
              <w:right w:val="single" w:sz="4" w:space="0" w:color="auto"/>
            </w:tcBorders>
            <w:shd w:val="clear" w:color="000000" w:fill="FFFFFF"/>
            <w:noWrap/>
            <w:vAlign w:val="bottom"/>
            <w:hideMark/>
          </w:tcPr>
          <w:p w14:paraId="7DFE64F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501,60</w:t>
            </w:r>
          </w:p>
        </w:tc>
      </w:tr>
      <w:tr w:rsidR="002D4864" w:rsidRPr="00620F58" w14:paraId="3EEFE43A"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6F4DCC9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51</w:t>
            </w:r>
          </w:p>
        </w:tc>
        <w:tc>
          <w:tcPr>
            <w:tcW w:w="1845" w:type="dxa"/>
            <w:tcBorders>
              <w:top w:val="nil"/>
              <w:left w:val="nil"/>
              <w:bottom w:val="single" w:sz="4" w:space="0" w:color="auto"/>
              <w:right w:val="single" w:sz="4" w:space="0" w:color="auto"/>
            </w:tcBorders>
            <w:shd w:val="clear" w:color="F8CBAD" w:fill="FFFFFF"/>
            <w:noWrap/>
            <w:vAlign w:val="bottom"/>
            <w:hideMark/>
          </w:tcPr>
          <w:p w14:paraId="16ADF8F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2B352CB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Loode</w:t>
            </w:r>
          </w:p>
        </w:tc>
        <w:tc>
          <w:tcPr>
            <w:tcW w:w="1075" w:type="dxa"/>
            <w:tcBorders>
              <w:top w:val="nil"/>
              <w:left w:val="nil"/>
              <w:bottom w:val="single" w:sz="4" w:space="0" w:color="auto"/>
              <w:right w:val="single" w:sz="4" w:space="0" w:color="auto"/>
            </w:tcBorders>
            <w:shd w:val="clear" w:color="F8CBAD" w:fill="FFFFFF"/>
            <w:noWrap/>
            <w:vAlign w:val="bottom"/>
            <w:hideMark/>
          </w:tcPr>
          <w:p w14:paraId="3201548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7814960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58,30</w:t>
            </w:r>
          </w:p>
        </w:tc>
        <w:tc>
          <w:tcPr>
            <w:tcW w:w="1140" w:type="dxa"/>
            <w:tcBorders>
              <w:top w:val="nil"/>
              <w:left w:val="nil"/>
              <w:bottom w:val="single" w:sz="4" w:space="0" w:color="auto"/>
              <w:right w:val="single" w:sz="4" w:space="0" w:color="auto"/>
            </w:tcBorders>
            <w:shd w:val="clear" w:color="F8CBAD" w:fill="FFFFFF"/>
            <w:noWrap/>
            <w:vAlign w:val="bottom"/>
            <w:hideMark/>
          </w:tcPr>
          <w:p w14:paraId="48CCACB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6F09B87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62F6E04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3408155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w:t>
            </w:r>
          </w:p>
        </w:tc>
        <w:tc>
          <w:tcPr>
            <w:tcW w:w="1075" w:type="dxa"/>
            <w:tcBorders>
              <w:top w:val="nil"/>
              <w:left w:val="nil"/>
              <w:bottom w:val="single" w:sz="4" w:space="0" w:color="auto"/>
              <w:right w:val="single" w:sz="4" w:space="0" w:color="auto"/>
            </w:tcBorders>
            <w:shd w:val="clear" w:color="F8CBAD" w:fill="FFFFFF"/>
            <w:noWrap/>
            <w:vAlign w:val="bottom"/>
            <w:hideMark/>
          </w:tcPr>
          <w:p w14:paraId="3527478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42,00</w:t>
            </w:r>
          </w:p>
        </w:tc>
      </w:tr>
      <w:tr w:rsidR="002D4864" w:rsidRPr="00620F58" w14:paraId="678DBDD9"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4136B4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52</w:t>
            </w:r>
          </w:p>
        </w:tc>
        <w:tc>
          <w:tcPr>
            <w:tcW w:w="1845" w:type="dxa"/>
            <w:tcBorders>
              <w:top w:val="nil"/>
              <w:left w:val="nil"/>
              <w:bottom w:val="single" w:sz="4" w:space="0" w:color="auto"/>
              <w:right w:val="single" w:sz="4" w:space="0" w:color="auto"/>
            </w:tcBorders>
            <w:shd w:val="clear" w:color="000000" w:fill="FFFFFF"/>
            <w:noWrap/>
            <w:vAlign w:val="bottom"/>
            <w:hideMark/>
          </w:tcPr>
          <w:p w14:paraId="48072CF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65556C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Luhina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22EECF9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1131,00</w:t>
            </w:r>
          </w:p>
        </w:tc>
        <w:tc>
          <w:tcPr>
            <w:tcW w:w="1120" w:type="dxa"/>
            <w:tcBorders>
              <w:top w:val="nil"/>
              <w:left w:val="nil"/>
              <w:bottom w:val="single" w:sz="4" w:space="0" w:color="auto"/>
              <w:right w:val="single" w:sz="4" w:space="0" w:color="auto"/>
            </w:tcBorders>
            <w:shd w:val="clear" w:color="000000" w:fill="FFFFFF"/>
            <w:noWrap/>
            <w:vAlign w:val="bottom"/>
            <w:hideMark/>
          </w:tcPr>
          <w:p w14:paraId="3E9F59C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1096,50</w:t>
            </w:r>
          </w:p>
        </w:tc>
        <w:tc>
          <w:tcPr>
            <w:tcW w:w="1140" w:type="dxa"/>
            <w:tcBorders>
              <w:top w:val="nil"/>
              <w:left w:val="nil"/>
              <w:bottom w:val="single" w:sz="4" w:space="0" w:color="auto"/>
              <w:right w:val="single" w:sz="4" w:space="0" w:color="auto"/>
            </w:tcBorders>
            <w:shd w:val="clear" w:color="000000" w:fill="FFFFFF"/>
            <w:noWrap/>
            <w:vAlign w:val="bottom"/>
            <w:hideMark/>
          </w:tcPr>
          <w:p w14:paraId="02450E4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1803,50</w:t>
            </w:r>
          </w:p>
        </w:tc>
        <w:tc>
          <w:tcPr>
            <w:tcW w:w="1120" w:type="dxa"/>
            <w:tcBorders>
              <w:top w:val="nil"/>
              <w:left w:val="nil"/>
              <w:bottom w:val="single" w:sz="4" w:space="0" w:color="auto"/>
              <w:right w:val="single" w:sz="4" w:space="0" w:color="auto"/>
            </w:tcBorders>
            <w:shd w:val="clear" w:color="000000" w:fill="FFFFFF"/>
            <w:noWrap/>
            <w:vAlign w:val="bottom"/>
            <w:hideMark/>
          </w:tcPr>
          <w:p w14:paraId="2E41767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4107,00</w:t>
            </w:r>
          </w:p>
        </w:tc>
        <w:tc>
          <w:tcPr>
            <w:tcW w:w="931" w:type="dxa"/>
            <w:tcBorders>
              <w:top w:val="nil"/>
              <w:left w:val="nil"/>
              <w:bottom w:val="single" w:sz="4" w:space="0" w:color="auto"/>
              <w:right w:val="single" w:sz="4" w:space="0" w:color="auto"/>
            </w:tcBorders>
            <w:shd w:val="clear" w:color="000000" w:fill="FFFFFF"/>
            <w:noWrap/>
            <w:vAlign w:val="bottom"/>
            <w:hideMark/>
          </w:tcPr>
          <w:p w14:paraId="206B51D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1655,00</w:t>
            </w:r>
          </w:p>
        </w:tc>
        <w:tc>
          <w:tcPr>
            <w:tcW w:w="1219" w:type="dxa"/>
            <w:tcBorders>
              <w:top w:val="nil"/>
              <w:left w:val="nil"/>
              <w:bottom w:val="single" w:sz="4" w:space="0" w:color="auto"/>
              <w:right w:val="single" w:sz="4" w:space="0" w:color="auto"/>
            </w:tcBorders>
            <w:shd w:val="clear" w:color="000000" w:fill="FFFFFF"/>
            <w:noWrap/>
            <w:vAlign w:val="bottom"/>
            <w:hideMark/>
          </w:tcPr>
          <w:p w14:paraId="502F409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1933,00</w:t>
            </w:r>
          </w:p>
        </w:tc>
        <w:tc>
          <w:tcPr>
            <w:tcW w:w="1075" w:type="dxa"/>
            <w:tcBorders>
              <w:top w:val="nil"/>
              <w:left w:val="nil"/>
              <w:bottom w:val="single" w:sz="4" w:space="0" w:color="auto"/>
              <w:right w:val="single" w:sz="4" w:space="0" w:color="auto"/>
            </w:tcBorders>
            <w:shd w:val="clear" w:color="000000" w:fill="FFFFFF"/>
            <w:noWrap/>
            <w:vAlign w:val="bottom"/>
            <w:hideMark/>
          </w:tcPr>
          <w:p w14:paraId="3FCE472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2734,50</w:t>
            </w:r>
          </w:p>
        </w:tc>
      </w:tr>
      <w:tr w:rsidR="002D4864" w:rsidRPr="00620F58" w14:paraId="25B4932F"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43B91DA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53</w:t>
            </w:r>
          </w:p>
        </w:tc>
        <w:tc>
          <w:tcPr>
            <w:tcW w:w="1845" w:type="dxa"/>
            <w:tcBorders>
              <w:top w:val="nil"/>
              <w:left w:val="nil"/>
              <w:bottom w:val="single" w:sz="4" w:space="0" w:color="auto"/>
              <w:right w:val="single" w:sz="4" w:space="0" w:color="auto"/>
            </w:tcBorders>
            <w:shd w:val="clear" w:color="F8CBAD" w:fill="FFFFFF"/>
            <w:noWrap/>
            <w:vAlign w:val="bottom"/>
            <w:hideMark/>
          </w:tcPr>
          <w:p w14:paraId="2FB25D44"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68B0C0E2"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proofErr w:type="spellStart"/>
            <w:r w:rsidRPr="002D4864">
              <w:rPr>
                <w:rFonts w:ascii="Times New Roman" w:eastAsia="Times New Roman" w:hAnsi="Times New Roman" w:cs="Times New Roman"/>
                <w:sz w:val="22"/>
                <w:szCs w:val="22"/>
              </w:rPr>
              <w:t>Luhtse</w:t>
            </w:r>
            <w:proofErr w:type="spellEnd"/>
          </w:p>
        </w:tc>
        <w:tc>
          <w:tcPr>
            <w:tcW w:w="1075" w:type="dxa"/>
            <w:tcBorders>
              <w:top w:val="nil"/>
              <w:left w:val="nil"/>
              <w:bottom w:val="single" w:sz="4" w:space="0" w:color="auto"/>
              <w:right w:val="single" w:sz="4" w:space="0" w:color="auto"/>
            </w:tcBorders>
            <w:shd w:val="clear" w:color="F8CBAD" w:fill="FFFFFF"/>
            <w:noWrap/>
            <w:vAlign w:val="bottom"/>
            <w:hideMark/>
          </w:tcPr>
          <w:p w14:paraId="5FE48D5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327,00</w:t>
            </w:r>
          </w:p>
        </w:tc>
        <w:tc>
          <w:tcPr>
            <w:tcW w:w="1120" w:type="dxa"/>
            <w:tcBorders>
              <w:top w:val="nil"/>
              <w:left w:val="nil"/>
              <w:bottom w:val="single" w:sz="4" w:space="0" w:color="auto"/>
              <w:right w:val="single" w:sz="4" w:space="0" w:color="auto"/>
            </w:tcBorders>
            <w:shd w:val="clear" w:color="F8CBAD" w:fill="FFFFFF"/>
            <w:noWrap/>
            <w:vAlign w:val="bottom"/>
            <w:hideMark/>
          </w:tcPr>
          <w:p w14:paraId="5E10453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271,00</w:t>
            </w:r>
          </w:p>
        </w:tc>
        <w:tc>
          <w:tcPr>
            <w:tcW w:w="1140" w:type="dxa"/>
            <w:tcBorders>
              <w:top w:val="nil"/>
              <w:left w:val="nil"/>
              <w:bottom w:val="single" w:sz="4" w:space="0" w:color="auto"/>
              <w:right w:val="single" w:sz="4" w:space="0" w:color="auto"/>
            </w:tcBorders>
            <w:shd w:val="clear" w:color="F8CBAD" w:fill="FFFFFF"/>
            <w:noWrap/>
            <w:vAlign w:val="bottom"/>
            <w:hideMark/>
          </w:tcPr>
          <w:p w14:paraId="313CF2D4"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A3C754D"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4C6CCCF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103,00</w:t>
            </w:r>
          </w:p>
        </w:tc>
        <w:tc>
          <w:tcPr>
            <w:tcW w:w="1219" w:type="dxa"/>
            <w:tcBorders>
              <w:top w:val="nil"/>
              <w:left w:val="nil"/>
              <w:bottom w:val="single" w:sz="4" w:space="0" w:color="auto"/>
              <w:right w:val="single" w:sz="4" w:space="0" w:color="auto"/>
            </w:tcBorders>
            <w:shd w:val="clear" w:color="F8CBAD" w:fill="FFFFFF"/>
            <w:noWrap/>
            <w:vAlign w:val="bottom"/>
            <w:hideMark/>
          </w:tcPr>
          <w:p w14:paraId="0500BA5D"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6,00</w:t>
            </w:r>
          </w:p>
        </w:tc>
        <w:tc>
          <w:tcPr>
            <w:tcW w:w="1075" w:type="dxa"/>
            <w:tcBorders>
              <w:top w:val="nil"/>
              <w:left w:val="nil"/>
              <w:bottom w:val="single" w:sz="4" w:space="0" w:color="auto"/>
              <w:right w:val="single" w:sz="4" w:space="0" w:color="auto"/>
            </w:tcBorders>
            <w:shd w:val="clear" w:color="F8CBAD" w:fill="FFFFFF"/>
            <w:noWrap/>
            <w:vAlign w:val="bottom"/>
            <w:hideMark/>
          </w:tcPr>
          <w:p w14:paraId="07FA3AF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432437F2"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B7F452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w:t>
            </w:r>
          </w:p>
        </w:tc>
        <w:tc>
          <w:tcPr>
            <w:tcW w:w="1845" w:type="dxa"/>
            <w:tcBorders>
              <w:top w:val="nil"/>
              <w:left w:val="nil"/>
              <w:bottom w:val="single" w:sz="4" w:space="0" w:color="auto"/>
              <w:right w:val="single" w:sz="4" w:space="0" w:color="auto"/>
            </w:tcBorders>
            <w:shd w:val="clear" w:color="000000" w:fill="FFFFFF"/>
            <w:noWrap/>
            <w:vAlign w:val="bottom"/>
            <w:hideMark/>
          </w:tcPr>
          <w:p w14:paraId="7C8D6D5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58A7AF7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Lõmala</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40254F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115,10</w:t>
            </w:r>
          </w:p>
        </w:tc>
        <w:tc>
          <w:tcPr>
            <w:tcW w:w="1120" w:type="dxa"/>
            <w:tcBorders>
              <w:top w:val="nil"/>
              <w:left w:val="nil"/>
              <w:bottom w:val="single" w:sz="4" w:space="0" w:color="auto"/>
              <w:right w:val="single" w:sz="4" w:space="0" w:color="auto"/>
            </w:tcBorders>
            <w:shd w:val="clear" w:color="000000" w:fill="FFFFFF"/>
            <w:noWrap/>
            <w:vAlign w:val="bottom"/>
            <w:hideMark/>
          </w:tcPr>
          <w:p w14:paraId="5883976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77,00</w:t>
            </w:r>
          </w:p>
        </w:tc>
        <w:tc>
          <w:tcPr>
            <w:tcW w:w="1140" w:type="dxa"/>
            <w:tcBorders>
              <w:top w:val="nil"/>
              <w:left w:val="nil"/>
              <w:bottom w:val="single" w:sz="4" w:space="0" w:color="auto"/>
              <w:right w:val="single" w:sz="4" w:space="0" w:color="auto"/>
            </w:tcBorders>
            <w:shd w:val="clear" w:color="000000" w:fill="FFFFFF"/>
            <w:noWrap/>
            <w:vAlign w:val="bottom"/>
            <w:hideMark/>
          </w:tcPr>
          <w:p w14:paraId="4B53F8F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155,50</w:t>
            </w:r>
          </w:p>
        </w:tc>
        <w:tc>
          <w:tcPr>
            <w:tcW w:w="1120" w:type="dxa"/>
            <w:tcBorders>
              <w:top w:val="nil"/>
              <w:left w:val="nil"/>
              <w:bottom w:val="single" w:sz="4" w:space="0" w:color="auto"/>
              <w:right w:val="single" w:sz="4" w:space="0" w:color="auto"/>
            </w:tcBorders>
            <w:shd w:val="clear" w:color="000000" w:fill="FFFFFF"/>
            <w:noWrap/>
            <w:vAlign w:val="bottom"/>
            <w:hideMark/>
          </w:tcPr>
          <w:p w14:paraId="6F82546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885,50</w:t>
            </w:r>
          </w:p>
        </w:tc>
        <w:tc>
          <w:tcPr>
            <w:tcW w:w="931" w:type="dxa"/>
            <w:tcBorders>
              <w:top w:val="nil"/>
              <w:left w:val="nil"/>
              <w:bottom w:val="single" w:sz="4" w:space="0" w:color="auto"/>
              <w:right w:val="single" w:sz="4" w:space="0" w:color="auto"/>
            </w:tcBorders>
            <w:shd w:val="clear" w:color="000000" w:fill="FFFFFF"/>
            <w:noWrap/>
            <w:vAlign w:val="bottom"/>
            <w:hideMark/>
          </w:tcPr>
          <w:p w14:paraId="75ECA9E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918,00</w:t>
            </w:r>
          </w:p>
        </w:tc>
        <w:tc>
          <w:tcPr>
            <w:tcW w:w="1219" w:type="dxa"/>
            <w:tcBorders>
              <w:top w:val="nil"/>
              <w:left w:val="nil"/>
              <w:bottom w:val="single" w:sz="4" w:space="0" w:color="auto"/>
              <w:right w:val="single" w:sz="4" w:space="0" w:color="auto"/>
            </w:tcBorders>
            <w:shd w:val="clear" w:color="000000" w:fill="FFFFFF"/>
            <w:noWrap/>
            <w:vAlign w:val="bottom"/>
            <w:hideMark/>
          </w:tcPr>
          <w:p w14:paraId="133E6BC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200,00</w:t>
            </w:r>
          </w:p>
        </w:tc>
        <w:tc>
          <w:tcPr>
            <w:tcW w:w="1075" w:type="dxa"/>
            <w:tcBorders>
              <w:top w:val="nil"/>
              <w:left w:val="nil"/>
              <w:bottom w:val="single" w:sz="4" w:space="0" w:color="auto"/>
              <w:right w:val="single" w:sz="4" w:space="0" w:color="auto"/>
            </w:tcBorders>
            <w:shd w:val="clear" w:color="000000" w:fill="FFFFFF"/>
            <w:noWrap/>
            <w:vAlign w:val="bottom"/>
            <w:hideMark/>
          </w:tcPr>
          <w:p w14:paraId="5CB9133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151,00</w:t>
            </w:r>
          </w:p>
        </w:tc>
      </w:tr>
      <w:tr w:rsidR="002D4864" w:rsidRPr="00620F58" w14:paraId="6B754E91"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5F83138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55</w:t>
            </w:r>
          </w:p>
        </w:tc>
        <w:tc>
          <w:tcPr>
            <w:tcW w:w="1845" w:type="dxa"/>
            <w:tcBorders>
              <w:top w:val="nil"/>
              <w:left w:val="nil"/>
              <w:bottom w:val="single" w:sz="4" w:space="0" w:color="auto"/>
              <w:right w:val="single" w:sz="4" w:space="0" w:color="auto"/>
            </w:tcBorders>
            <w:shd w:val="clear" w:color="F8CBAD" w:fill="FFFFFF"/>
            <w:noWrap/>
            <w:vAlign w:val="bottom"/>
            <w:hideMark/>
          </w:tcPr>
          <w:p w14:paraId="42903ED7"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32C78510"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Lõpesuu sadam</w:t>
            </w:r>
          </w:p>
        </w:tc>
        <w:tc>
          <w:tcPr>
            <w:tcW w:w="1075" w:type="dxa"/>
            <w:tcBorders>
              <w:top w:val="nil"/>
              <w:left w:val="nil"/>
              <w:bottom w:val="single" w:sz="4" w:space="0" w:color="auto"/>
              <w:right w:val="single" w:sz="4" w:space="0" w:color="auto"/>
            </w:tcBorders>
            <w:shd w:val="clear" w:color="F8CBAD" w:fill="FFFFFF"/>
            <w:noWrap/>
            <w:vAlign w:val="bottom"/>
            <w:hideMark/>
          </w:tcPr>
          <w:p w14:paraId="2B48912D"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203,00</w:t>
            </w:r>
          </w:p>
        </w:tc>
        <w:tc>
          <w:tcPr>
            <w:tcW w:w="1120" w:type="dxa"/>
            <w:tcBorders>
              <w:top w:val="nil"/>
              <w:left w:val="nil"/>
              <w:bottom w:val="single" w:sz="4" w:space="0" w:color="auto"/>
              <w:right w:val="single" w:sz="4" w:space="0" w:color="auto"/>
            </w:tcBorders>
            <w:shd w:val="clear" w:color="F8CBAD" w:fill="FFFFFF"/>
            <w:noWrap/>
            <w:vAlign w:val="bottom"/>
            <w:hideMark/>
          </w:tcPr>
          <w:p w14:paraId="19F64770"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181F503B"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455B849"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678B7B9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6D1257F4"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53,00</w:t>
            </w:r>
          </w:p>
        </w:tc>
        <w:tc>
          <w:tcPr>
            <w:tcW w:w="1075" w:type="dxa"/>
            <w:tcBorders>
              <w:top w:val="nil"/>
              <w:left w:val="nil"/>
              <w:bottom w:val="single" w:sz="4" w:space="0" w:color="auto"/>
              <w:right w:val="single" w:sz="4" w:space="0" w:color="auto"/>
            </w:tcBorders>
            <w:shd w:val="clear" w:color="F8CBAD" w:fill="FFFFFF"/>
            <w:noWrap/>
            <w:vAlign w:val="bottom"/>
            <w:hideMark/>
          </w:tcPr>
          <w:p w14:paraId="73C519A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7C8643B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E53EE1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56</w:t>
            </w:r>
          </w:p>
        </w:tc>
        <w:tc>
          <w:tcPr>
            <w:tcW w:w="1845" w:type="dxa"/>
            <w:tcBorders>
              <w:top w:val="nil"/>
              <w:left w:val="nil"/>
              <w:bottom w:val="single" w:sz="4" w:space="0" w:color="auto"/>
              <w:right w:val="single" w:sz="4" w:space="0" w:color="auto"/>
            </w:tcBorders>
            <w:shd w:val="clear" w:color="000000" w:fill="FFFFFF"/>
            <w:noWrap/>
            <w:vAlign w:val="bottom"/>
            <w:hideMark/>
          </w:tcPr>
          <w:p w14:paraId="44E2957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438DDD2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Lõu</w:t>
            </w:r>
            <w:proofErr w:type="spellEnd"/>
            <w:r w:rsidRPr="002D4864">
              <w:rPr>
                <w:rFonts w:ascii="Times New Roman" w:eastAsia="Times New Roman" w:hAnsi="Times New Roman" w:cs="Times New Roman"/>
                <w:color w:val="000000"/>
                <w:sz w:val="22"/>
                <w:szCs w:val="22"/>
              </w:rPr>
              <w:t xml:space="preserve"> </w:t>
            </w:r>
          </w:p>
        </w:tc>
        <w:tc>
          <w:tcPr>
            <w:tcW w:w="1075" w:type="dxa"/>
            <w:tcBorders>
              <w:top w:val="nil"/>
              <w:left w:val="nil"/>
              <w:bottom w:val="single" w:sz="4" w:space="0" w:color="auto"/>
              <w:right w:val="single" w:sz="4" w:space="0" w:color="auto"/>
            </w:tcBorders>
            <w:shd w:val="clear" w:color="000000" w:fill="FFFFFF"/>
            <w:noWrap/>
            <w:vAlign w:val="bottom"/>
            <w:hideMark/>
          </w:tcPr>
          <w:p w14:paraId="346963C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343,40</w:t>
            </w:r>
          </w:p>
        </w:tc>
        <w:tc>
          <w:tcPr>
            <w:tcW w:w="1120" w:type="dxa"/>
            <w:tcBorders>
              <w:top w:val="nil"/>
              <w:left w:val="nil"/>
              <w:bottom w:val="single" w:sz="4" w:space="0" w:color="auto"/>
              <w:right w:val="single" w:sz="4" w:space="0" w:color="auto"/>
            </w:tcBorders>
            <w:shd w:val="clear" w:color="000000" w:fill="FFFFFF"/>
            <w:noWrap/>
            <w:vAlign w:val="bottom"/>
            <w:hideMark/>
          </w:tcPr>
          <w:p w14:paraId="4A26926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128,00</w:t>
            </w:r>
          </w:p>
        </w:tc>
        <w:tc>
          <w:tcPr>
            <w:tcW w:w="1140" w:type="dxa"/>
            <w:tcBorders>
              <w:top w:val="nil"/>
              <w:left w:val="nil"/>
              <w:bottom w:val="single" w:sz="4" w:space="0" w:color="auto"/>
              <w:right w:val="single" w:sz="4" w:space="0" w:color="auto"/>
            </w:tcBorders>
            <w:shd w:val="clear" w:color="000000" w:fill="FFFFFF"/>
            <w:noWrap/>
            <w:vAlign w:val="bottom"/>
            <w:hideMark/>
          </w:tcPr>
          <w:p w14:paraId="44CA641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384,90</w:t>
            </w:r>
          </w:p>
        </w:tc>
        <w:tc>
          <w:tcPr>
            <w:tcW w:w="1120" w:type="dxa"/>
            <w:tcBorders>
              <w:top w:val="nil"/>
              <w:left w:val="nil"/>
              <w:bottom w:val="single" w:sz="4" w:space="0" w:color="auto"/>
              <w:right w:val="single" w:sz="4" w:space="0" w:color="auto"/>
            </w:tcBorders>
            <w:shd w:val="clear" w:color="000000" w:fill="FFFFFF"/>
            <w:noWrap/>
            <w:vAlign w:val="bottom"/>
            <w:hideMark/>
          </w:tcPr>
          <w:p w14:paraId="236E797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287,90</w:t>
            </w:r>
          </w:p>
        </w:tc>
        <w:tc>
          <w:tcPr>
            <w:tcW w:w="931" w:type="dxa"/>
            <w:tcBorders>
              <w:top w:val="nil"/>
              <w:left w:val="nil"/>
              <w:bottom w:val="single" w:sz="4" w:space="0" w:color="auto"/>
              <w:right w:val="single" w:sz="4" w:space="0" w:color="auto"/>
            </w:tcBorders>
            <w:shd w:val="clear" w:color="000000" w:fill="FFFFFF"/>
            <w:noWrap/>
            <w:vAlign w:val="bottom"/>
            <w:hideMark/>
          </w:tcPr>
          <w:p w14:paraId="603652B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283,00</w:t>
            </w:r>
          </w:p>
        </w:tc>
        <w:tc>
          <w:tcPr>
            <w:tcW w:w="1219" w:type="dxa"/>
            <w:tcBorders>
              <w:top w:val="nil"/>
              <w:left w:val="nil"/>
              <w:bottom w:val="single" w:sz="4" w:space="0" w:color="auto"/>
              <w:right w:val="single" w:sz="4" w:space="0" w:color="auto"/>
            </w:tcBorders>
            <w:shd w:val="clear" w:color="000000" w:fill="FFFFFF"/>
            <w:noWrap/>
            <w:vAlign w:val="bottom"/>
            <w:hideMark/>
          </w:tcPr>
          <w:p w14:paraId="1F0F64A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84,10</w:t>
            </w:r>
          </w:p>
        </w:tc>
        <w:tc>
          <w:tcPr>
            <w:tcW w:w="1075" w:type="dxa"/>
            <w:tcBorders>
              <w:top w:val="nil"/>
              <w:left w:val="nil"/>
              <w:bottom w:val="single" w:sz="4" w:space="0" w:color="auto"/>
              <w:right w:val="single" w:sz="4" w:space="0" w:color="auto"/>
            </w:tcBorders>
            <w:shd w:val="clear" w:color="000000" w:fill="FFFFFF"/>
            <w:noWrap/>
            <w:vAlign w:val="bottom"/>
            <w:hideMark/>
          </w:tcPr>
          <w:p w14:paraId="2C9573B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95,80</w:t>
            </w:r>
          </w:p>
        </w:tc>
      </w:tr>
      <w:tr w:rsidR="002D4864" w:rsidRPr="00620F58" w14:paraId="0D211B7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5E1DCA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57</w:t>
            </w:r>
          </w:p>
        </w:tc>
        <w:tc>
          <w:tcPr>
            <w:tcW w:w="1845" w:type="dxa"/>
            <w:tcBorders>
              <w:top w:val="nil"/>
              <w:left w:val="nil"/>
              <w:bottom w:val="single" w:sz="4" w:space="0" w:color="auto"/>
              <w:right w:val="single" w:sz="4" w:space="0" w:color="auto"/>
            </w:tcBorders>
            <w:shd w:val="clear" w:color="000000" w:fill="FFFFFF"/>
            <w:noWrap/>
            <w:vAlign w:val="bottom"/>
            <w:hideMark/>
          </w:tcPr>
          <w:p w14:paraId="04DB3D5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9CD662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Läbara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07D4084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84,00</w:t>
            </w:r>
          </w:p>
        </w:tc>
        <w:tc>
          <w:tcPr>
            <w:tcW w:w="1120" w:type="dxa"/>
            <w:tcBorders>
              <w:top w:val="nil"/>
              <w:left w:val="nil"/>
              <w:bottom w:val="single" w:sz="4" w:space="0" w:color="auto"/>
              <w:right w:val="single" w:sz="4" w:space="0" w:color="auto"/>
            </w:tcBorders>
            <w:shd w:val="clear" w:color="000000" w:fill="FFFFFF"/>
            <w:noWrap/>
            <w:vAlign w:val="bottom"/>
            <w:hideMark/>
          </w:tcPr>
          <w:p w14:paraId="6C4E9B8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w:t>
            </w:r>
          </w:p>
        </w:tc>
        <w:tc>
          <w:tcPr>
            <w:tcW w:w="1140" w:type="dxa"/>
            <w:tcBorders>
              <w:top w:val="nil"/>
              <w:left w:val="nil"/>
              <w:bottom w:val="single" w:sz="4" w:space="0" w:color="auto"/>
              <w:right w:val="single" w:sz="4" w:space="0" w:color="auto"/>
            </w:tcBorders>
            <w:shd w:val="clear" w:color="000000" w:fill="FFFFFF"/>
            <w:noWrap/>
            <w:vAlign w:val="bottom"/>
            <w:hideMark/>
          </w:tcPr>
          <w:p w14:paraId="1EB08C8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w:t>
            </w:r>
          </w:p>
        </w:tc>
        <w:tc>
          <w:tcPr>
            <w:tcW w:w="1120" w:type="dxa"/>
            <w:tcBorders>
              <w:top w:val="nil"/>
              <w:left w:val="nil"/>
              <w:bottom w:val="single" w:sz="4" w:space="0" w:color="auto"/>
              <w:right w:val="single" w:sz="4" w:space="0" w:color="auto"/>
            </w:tcBorders>
            <w:shd w:val="clear" w:color="000000" w:fill="FFFFFF"/>
            <w:noWrap/>
            <w:vAlign w:val="bottom"/>
            <w:hideMark/>
          </w:tcPr>
          <w:p w14:paraId="760C5A8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190,00</w:t>
            </w:r>
          </w:p>
        </w:tc>
        <w:tc>
          <w:tcPr>
            <w:tcW w:w="931" w:type="dxa"/>
            <w:tcBorders>
              <w:top w:val="nil"/>
              <w:left w:val="nil"/>
              <w:bottom w:val="single" w:sz="4" w:space="0" w:color="auto"/>
              <w:right w:val="single" w:sz="4" w:space="0" w:color="auto"/>
            </w:tcBorders>
            <w:shd w:val="clear" w:color="000000" w:fill="FFFFFF"/>
            <w:noWrap/>
            <w:vAlign w:val="bottom"/>
            <w:hideMark/>
          </w:tcPr>
          <w:p w14:paraId="52F9E96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231,00</w:t>
            </w:r>
          </w:p>
        </w:tc>
        <w:tc>
          <w:tcPr>
            <w:tcW w:w="1219" w:type="dxa"/>
            <w:tcBorders>
              <w:top w:val="nil"/>
              <w:left w:val="nil"/>
              <w:bottom w:val="single" w:sz="4" w:space="0" w:color="auto"/>
              <w:right w:val="single" w:sz="4" w:space="0" w:color="auto"/>
            </w:tcBorders>
            <w:shd w:val="clear" w:color="000000" w:fill="FFFFFF"/>
            <w:noWrap/>
            <w:vAlign w:val="bottom"/>
            <w:hideMark/>
          </w:tcPr>
          <w:p w14:paraId="587CC22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76,80</w:t>
            </w:r>
          </w:p>
        </w:tc>
        <w:tc>
          <w:tcPr>
            <w:tcW w:w="1075" w:type="dxa"/>
            <w:tcBorders>
              <w:top w:val="nil"/>
              <w:left w:val="nil"/>
              <w:bottom w:val="single" w:sz="4" w:space="0" w:color="auto"/>
              <w:right w:val="single" w:sz="4" w:space="0" w:color="auto"/>
            </w:tcBorders>
            <w:shd w:val="clear" w:color="000000" w:fill="FFFFFF"/>
            <w:noWrap/>
            <w:vAlign w:val="bottom"/>
            <w:hideMark/>
          </w:tcPr>
          <w:p w14:paraId="45313DE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15,50</w:t>
            </w:r>
          </w:p>
        </w:tc>
      </w:tr>
      <w:tr w:rsidR="002D4864" w:rsidRPr="00620F58" w14:paraId="0BA8231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A28705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58</w:t>
            </w:r>
          </w:p>
        </w:tc>
        <w:tc>
          <w:tcPr>
            <w:tcW w:w="1845" w:type="dxa"/>
            <w:tcBorders>
              <w:top w:val="nil"/>
              <w:left w:val="nil"/>
              <w:bottom w:val="single" w:sz="4" w:space="0" w:color="auto"/>
              <w:right w:val="single" w:sz="4" w:space="0" w:color="auto"/>
            </w:tcBorders>
            <w:shd w:val="clear" w:color="000000" w:fill="FFFFFF"/>
            <w:noWrap/>
            <w:vAlign w:val="bottom"/>
            <w:hideMark/>
          </w:tcPr>
          <w:p w14:paraId="0C69881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47971B8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Läkuranna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0B07A18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1485,80</w:t>
            </w:r>
          </w:p>
        </w:tc>
        <w:tc>
          <w:tcPr>
            <w:tcW w:w="1120" w:type="dxa"/>
            <w:tcBorders>
              <w:top w:val="nil"/>
              <w:left w:val="nil"/>
              <w:bottom w:val="single" w:sz="4" w:space="0" w:color="auto"/>
              <w:right w:val="single" w:sz="4" w:space="0" w:color="auto"/>
            </w:tcBorders>
            <w:shd w:val="clear" w:color="000000" w:fill="FFFFFF"/>
            <w:noWrap/>
            <w:vAlign w:val="bottom"/>
            <w:hideMark/>
          </w:tcPr>
          <w:p w14:paraId="3ECB595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998,50</w:t>
            </w:r>
          </w:p>
        </w:tc>
        <w:tc>
          <w:tcPr>
            <w:tcW w:w="1140" w:type="dxa"/>
            <w:tcBorders>
              <w:top w:val="nil"/>
              <w:left w:val="nil"/>
              <w:bottom w:val="single" w:sz="4" w:space="0" w:color="auto"/>
              <w:right w:val="single" w:sz="4" w:space="0" w:color="auto"/>
            </w:tcBorders>
            <w:shd w:val="clear" w:color="000000" w:fill="FFFFFF"/>
            <w:noWrap/>
            <w:vAlign w:val="bottom"/>
            <w:hideMark/>
          </w:tcPr>
          <w:p w14:paraId="1A2FD83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1940,10</w:t>
            </w:r>
          </w:p>
        </w:tc>
        <w:tc>
          <w:tcPr>
            <w:tcW w:w="1120" w:type="dxa"/>
            <w:tcBorders>
              <w:top w:val="nil"/>
              <w:left w:val="nil"/>
              <w:bottom w:val="single" w:sz="4" w:space="0" w:color="auto"/>
              <w:right w:val="single" w:sz="4" w:space="0" w:color="auto"/>
            </w:tcBorders>
            <w:shd w:val="clear" w:color="000000" w:fill="FFFFFF"/>
            <w:noWrap/>
            <w:vAlign w:val="bottom"/>
            <w:hideMark/>
          </w:tcPr>
          <w:p w14:paraId="3885AB5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23,50</w:t>
            </w:r>
          </w:p>
        </w:tc>
        <w:tc>
          <w:tcPr>
            <w:tcW w:w="931" w:type="dxa"/>
            <w:tcBorders>
              <w:top w:val="nil"/>
              <w:left w:val="nil"/>
              <w:bottom w:val="single" w:sz="4" w:space="0" w:color="auto"/>
              <w:right w:val="single" w:sz="4" w:space="0" w:color="auto"/>
            </w:tcBorders>
            <w:shd w:val="clear" w:color="000000" w:fill="FFFFFF"/>
            <w:noWrap/>
            <w:vAlign w:val="bottom"/>
            <w:hideMark/>
          </w:tcPr>
          <w:p w14:paraId="7B0BE74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000000" w:fill="FFFFFF"/>
            <w:noWrap/>
            <w:vAlign w:val="bottom"/>
            <w:hideMark/>
          </w:tcPr>
          <w:p w14:paraId="12B4562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45,20</w:t>
            </w:r>
          </w:p>
        </w:tc>
        <w:tc>
          <w:tcPr>
            <w:tcW w:w="1075" w:type="dxa"/>
            <w:tcBorders>
              <w:top w:val="nil"/>
              <w:left w:val="nil"/>
              <w:bottom w:val="single" w:sz="4" w:space="0" w:color="auto"/>
              <w:right w:val="single" w:sz="4" w:space="0" w:color="auto"/>
            </w:tcBorders>
            <w:shd w:val="clear" w:color="000000" w:fill="FFFFFF"/>
            <w:noWrap/>
            <w:vAlign w:val="bottom"/>
            <w:hideMark/>
          </w:tcPr>
          <w:p w14:paraId="2B58E07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64,00</w:t>
            </w:r>
          </w:p>
        </w:tc>
      </w:tr>
      <w:tr w:rsidR="002D4864" w:rsidRPr="00620F58" w14:paraId="288CC6A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C5674A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59</w:t>
            </w:r>
          </w:p>
        </w:tc>
        <w:tc>
          <w:tcPr>
            <w:tcW w:w="1845" w:type="dxa"/>
            <w:tcBorders>
              <w:top w:val="nil"/>
              <w:left w:val="nil"/>
              <w:bottom w:val="single" w:sz="4" w:space="0" w:color="auto"/>
              <w:right w:val="single" w:sz="4" w:space="0" w:color="auto"/>
            </w:tcBorders>
            <w:shd w:val="clear" w:color="000000" w:fill="FFFFFF"/>
            <w:noWrap/>
            <w:vAlign w:val="bottom"/>
            <w:hideMark/>
          </w:tcPr>
          <w:p w14:paraId="2BC71CD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10A93D1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Läätsa</w:t>
            </w:r>
            <w:proofErr w:type="spellEnd"/>
            <w:r w:rsidRPr="002D4864">
              <w:rPr>
                <w:rFonts w:ascii="Times New Roman" w:eastAsia="Times New Roman" w:hAnsi="Times New Roman" w:cs="Times New Roman"/>
                <w:color w:val="000000"/>
                <w:sz w:val="22"/>
                <w:szCs w:val="22"/>
              </w:rPr>
              <w:t xml:space="preserve"> Paadisadam</w:t>
            </w:r>
          </w:p>
        </w:tc>
        <w:tc>
          <w:tcPr>
            <w:tcW w:w="1075" w:type="dxa"/>
            <w:tcBorders>
              <w:top w:val="nil"/>
              <w:left w:val="nil"/>
              <w:bottom w:val="single" w:sz="4" w:space="0" w:color="auto"/>
              <w:right w:val="single" w:sz="4" w:space="0" w:color="auto"/>
            </w:tcBorders>
            <w:shd w:val="clear" w:color="000000" w:fill="FFFFFF"/>
            <w:noWrap/>
            <w:vAlign w:val="bottom"/>
            <w:hideMark/>
          </w:tcPr>
          <w:p w14:paraId="479979E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53123,80</w:t>
            </w:r>
          </w:p>
        </w:tc>
        <w:tc>
          <w:tcPr>
            <w:tcW w:w="1120" w:type="dxa"/>
            <w:tcBorders>
              <w:top w:val="nil"/>
              <w:left w:val="nil"/>
              <w:bottom w:val="single" w:sz="4" w:space="0" w:color="auto"/>
              <w:right w:val="single" w:sz="4" w:space="0" w:color="auto"/>
            </w:tcBorders>
            <w:shd w:val="clear" w:color="000000" w:fill="FFFFFF"/>
            <w:noWrap/>
            <w:vAlign w:val="bottom"/>
            <w:hideMark/>
          </w:tcPr>
          <w:p w14:paraId="65E6E8B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84863,50</w:t>
            </w:r>
          </w:p>
        </w:tc>
        <w:tc>
          <w:tcPr>
            <w:tcW w:w="1140" w:type="dxa"/>
            <w:tcBorders>
              <w:top w:val="nil"/>
              <w:left w:val="nil"/>
              <w:bottom w:val="single" w:sz="4" w:space="0" w:color="auto"/>
              <w:right w:val="single" w:sz="4" w:space="0" w:color="auto"/>
            </w:tcBorders>
            <w:shd w:val="clear" w:color="000000" w:fill="FFFFFF"/>
            <w:noWrap/>
            <w:vAlign w:val="bottom"/>
            <w:hideMark/>
          </w:tcPr>
          <w:p w14:paraId="66798A3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31395,50</w:t>
            </w:r>
          </w:p>
        </w:tc>
        <w:tc>
          <w:tcPr>
            <w:tcW w:w="1120" w:type="dxa"/>
            <w:tcBorders>
              <w:top w:val="nil"/>
              <w:left w:val="nil"/>
              <w:bottom w:val="single" w:sz="4" w:space="0" w:color="auto"/>
              <w:right w:val="single" w:sz="4" w:space="0" w:color="auto"/>
            </w:tcBorders>
            <w:shd w:val="clear" w:color="000000" w:fill="FFFFFF"/>
            <w:noWrap/>
            <w:vAlign w:val="bottom"/>
            <w:hideMark/>
          </w:tcPr>
          <w:p w14:paraId="5FB9525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17281,45</w:t>
            </w:r>
          </w:p>
        </w:tc>
        <w:tc>
          <w:tcPr>
            <w:tcW w:w="931" w:type="dxa"/>
            <w:tcBorders>
              <w:top w:val="nil"/>
              <w:left w:val="nil"/>
              <w:bottom w:val="single" w:sz="4" w:space="0" w:color="auto"/>
              <w:right w:val="single" w:sz="4" w:space="0" w:color="auto"/>
            </w:tcBorders>
            <w:shd w:val="clear" w:color="000000" w:fill="FFFFFF"/>
            <w:noWrap/>
            <w:vAlign w:val="bottom"/>
            <w:hideMark/>
          </w:tcPr>
          <w:p w14:paraId="63991AC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13267,00</w:t>
            </w:r>
          </w:p>
        </w:tc>
        <w:tc>
          <w:tcPr>
            <w:tcW w:w="1219" w:type="dxa"/>
            <w:tcBorders>
              <w:top w:val="nil"/>
              <w:left w:val="nil"/>
              <w:bottom w:val="single" w:sz="4" w:space="0" w:color="auto"/>
              <w:right w:val="single" w:sz="4" w:space="0" w:color="auto"/>
            </w:tcBorders>
            <w:shd w:val="clear" w:color="000000" w:fill="FFFFFF"/>
            <w:noWrap/>
            <w:vAlign w:val="bottom"/>
            <w:hideMark/>
          </w:tcPr>
          <w:p w14:paraId="03A4A36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6444,60</w:t>
            </w:r>
          </w:p>
        </w:tc>
        <w:tc>
          <w:tcPr>
            <w:tcW w:w="1075" w:type="dxa"/>
            <w:tcBorders>
              <w:top w:val="nil"/>
              <w:left w:val="nil"/>
              <w:bottom w:val="single" w:sz="4" w:space="0" w:color="auto"/>
              <w:right w:val="single" w:sz="4" w:space="0" w:color="auto"/>
            </w:tcBorders>
            <w:shd w:val="clear" w:color="000000" w:fill="FFFFFF"/>
            <w:noWrap/>
            <w:vAlign w:val="bottom"/>
            <w:hideMark/>
          </w:tcPr>
          <w:p w14:paraId="5E1D63D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4134,00</w:t>
            </w:r>
          </w:p>
        </w:tc>
      </w:tr>
      <w:tr w:rsidR="002D4864" w:rsidRPr="00620F58" w14:paraId="238DFB65"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BAE362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60</w:t>
            </w:r>
          </w:p>
        </w:tc>
        <w:tc>
          <w:tcPr>
            <w:tcW w:w="1845" w:type="dxa"/>
            <w:tcBorders>
              <w:top w:val="nil"/>
              <w:left w:val="nil"/>
              <w:bottom w:val="single" w:sz="4" w:space="0" w:color="auto"/>
              <w:right w:val="single" w:sz="4" w:space="0" w:color="auto"/>
            </w:tcBorders>
            <w:shd w:val="clear" w:color="000000" w:fill="FFFFFF"/>
            <w:noWrap/>
            <w:vAlign w:val="bottom"/>
            <w:hideMark/>
          </w:tcPr>
          <w:p w14:paraId="255F900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E25B9B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Merise</w:t>
            </w:r>
          </w:p>
        </w:tc>
        <w:tc>
          <w:tcPr>
            <w:tcW w:w="1075" w:type="dxa"/>
            <w:tcBorders>
              <w:top w:val="nil"/>
              <w:left w:val="nil"/>
              <w:bottom w:val="single" w:sz="4" w:space="0" w:color="auto"/>
              <w:right w:val="single" w:sz="4" w:space="0" w:color="auto"/>
            </w:tcBorders>
            <w:shd w:val="clear" w:color="000000" w:fill="FFFFFF"/>
            <w:noWrap/>
            <w:vAlign w:val="bottom"/>
            <w:hideMark/>
          </w:tcPr>
          <w:p w14:paraId="68531C9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1551,50</w:t>
            </w:r>
          </w:p>
        </w:tc>
        <w:tc>
          <w:tcPr>
            <w:tcW w:w="1120" w:type="dxa"/>
            <w:tcBorders>
              <w:top w:val="nil"/>
              <w:left w:val="nil"/>
              <w:bottom w:val="single" w:sz="4" w:space="0" w:color="auto"/>
              <w:right w:val="single" w:sz="4" w:space="0" w:color="auto"/>
            </w:tcBorders>
            <w:shd w:val="clear" w:color="000000" w:fill="FFFFFF"/>
            <w:noWrap/>
            <w:vAlign w:val="bottom"/>
            <w:hideMark/>
          </w:tcPr>
          <w:p w14:paraId="577BB42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3501,50</w:t>
            </w:r>
          </w:p>
        </w:tc>
        <w:tc>
          <w:tcPr>
            <w:tcW w:w="1140" w:type="dxa"/>
            <w:tcBorders>
              <w:top w:val="nil"/>
              <w:left w:val="nil"/>
              <w:bottom w:val="single" w:sz="4" w:space="0" w:color="auto"/>
              <w:right w:val="single" w:sz="4" w:space="0" w:color="auto"/>
            </w:tcBorders>
            <w:shd w:val="clear" w:color="000000" w:fill="FFFFFF"/>
            <w:noWrap/>
            <w:vAlign w:val="bottom"/>
            <w:hideMark/>
          </w:tcPr>
          <w:p w14:paraId="3FBB0EF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1323,40</w:t>
            </w:r>
          </w:p>
        </w:tc>
        <w:tc>
          <w:tcPr>
            <w:tcW w:w="1120" w:type="dxa"/>
            <w:tcBorders>
              <w:top w:val="nil"/>
              <w:left w:val="nil"/>
              <w:bottom w:val="single" w:sz="4" w:space="0" w:color="auto"/>
              <w:right w:val="single" w:sz="4" w:space="0" w:color="auto"/>
            </w:tcBorders>
            <w:shd w:val="clear" w:color="000000" w:fill="FFFFFF"/>
            <w:noWrap/>
            <w:vAlign w:val="bottom"/>
            <w:hideMark/>
          </w:tcPr>
          <w:p w14:paraId="0639E88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3240,70</w:t>
            </w:r>
          </w:p>
        </w:tc>
        <w:tc>
          <w:tcPr>
            <w:tcW w:w="931" w:type="dxa"/>
            <w:tcBorders>
              <w:top w:val="nil"/>
              <w:left w:val="nil"/>
              <w:bottom w:val="single" w:sz="4" w:space="0" w:color="auto"/>
              <w:right w:val="single" w:sz="4" w:space="0" w:color="auto"/>
            </w:tcBorders>
            <w:shd w:val="clear" w:color="000000" w:fill="FFFFFF"/>
            <w:noWrap/>
            <w:vAlign w:val="bottom"/>
            <w:hideMark/>
          </w:tcPr>
          <w:p w14:paraId="769B6CB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2674,00</w:t>
            </w:r>
          </w:p>
        </w:tc>
        <w:tc>
          <w:tcPr>
            <w:tcW w:w="1219" w:type="dxa"/>
            <w:tcBorders>
              <w:top w:val="nil"/>
              <w:left w:val="nil"/>
              <w:bottom w:val="single" w:sz="4" w:space="0" w:color="auto"/>
              <w:right w:val="single" w:sz="4" w:space="0" w:color="auto"/>
            </w:tcBorders>
            <w:shd w:val="clear" w:color="000000" w:fill="FFFFFF"/>
            <w:noWrap/>
            <w:vAlign w:val="bottom"/>
            <w:hideMark/>
          </w:tcPr>
          <w:p w14:paraId="43A6C69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1615,40</w:t>
            </w:r>
          </w:p>
        </w:tc>
        <w:tc>
          <w:tcPr>
            <w:tcW w:w="1075" w:type="dxa"/>
            <w:tcBorders>
              <w:top w:val="nil"/>
              <w:left w:val="nil"/>
              <w:bottom w:val="single" w:sz="4" w:space="0" w:color="auto"/>
              <w:right w:val="single" w:sz="4" w:space="0" w:color="auto"/>
            </w:tcBorders>
            <w:shd w:val="clear" w:color="000000" w:fill="FFFFFF"/>
            <w:noWrap/>
            <w:vAlign w:val="bottom"/>
            <w:hideMark/>
          </w:tcPr>
          <w:p w14:paraId="701CFFC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1325,30</w:t>
            </w:r>
          </w:p>
        </w:tc>
      </w:tr>
      <w:tr w:rsidR="002D4864" w:rsidRPr="00620F58" w14:paraId="24A75FD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8F213D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lastRenderedPageBreak/>
              <w:t>61</w:t>
            </w:r>
          </w:p>
        </w:tc>
        <w:tc>
          <w:tcPr>
            <w:tcW w:w="1845" w:type="dxa"/>
            <w:tcBorders>
              <w:top w:val="nil"/>
              <w:left w:val="nil"/>
              <w:bottom w:val="single" w:sz="4" w:space="0" w:color="auto"/>
              <w:right w:val="single" w:sz="4" w:space="0" w:color="auto"/>
            </w:tcBorders>
            <w:shd w:val="clear" w:color="000000" w:fill="FFFFFF"/>
            <w:noWrap/>
            <w:vAlign w:val="bottom"/>
            <w:hideMark/>
          </w:tcPr>
          <w:p w14:paraId="19F07AF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9A96D3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Muha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33CF552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385,50</w:t>
            </w:r>
          </w:p>
        </w:tc>
        <w:tc>
          <w:tcPr>
            <w:tcW w:w="1120" w:type="dxa"/>
            <w:tcBorders>
              <w:top w:val="nil"/>
              <w:left w:val="nil"/>
              <w:bottom w:val="single" w:sz="4" w:space="0" w:color="auto"/>
              <w:right w:val="single" w:sz="4" w:space="0" w:color="auto"/>
            </w:tcBorders>
            <w:shd w:val="clear" w:color="000000" w:fill="FFFFFF"/>
            <w:noWrap/>
            <w:vAlign w:val="bottom"/>
            <w:hideMark/>
          </w:tcPr>
          <w:p w14:paraId="3403B82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953,50</w:t>
            </w:r>
          </w:p>
        </w:tc>
        <w:tc>
          <w:tcPr>
            <w:tcW w:w="1140" w:type="dxa"/>
            <w:tcBorders>
              <w:top w:val="nil"/>
              <w:left w:val="nil"/>
              <w:bottom w:val="single" w:sz="4" w:space="0" w:color="auto"/>
              <w:right w:val="single" w:sz="4" w:space="0" w:color="auto"/>
            </w:tcBorders>
            <w:shd w:val="clear" w:color="000000" w:fill="FFFFFF"/>
            <w:noWrap/>
            <w:vAlign w:val="bottom"/>
            <w:hideMark/>
          </w:tcPr>
          <w:p w14:paraId="0DBB8B7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1834,00</w:t>
            </w:r>
          </w:p>
        </w:tc>
        <w:tc>
          <w:tcPr>
            <w:tcW w:w="1120" w:type="dxa"/>
            <w:tcBorders>
              <w:top w:val="nil"/>
              <w:left w:val="nil"/>
              <w:bottom w:val="single" w:sz="4" w:space="0" w:color="auto"/>
              <w:right w:val="single" w:sz="4" w:space="0" w:color="auto"/>
            </w:tcBorders>
            <w:shd w:val="clear" w:color="000000" w:fill="FFFFFF"/>
            <w:noWrap/>
            <w:vAlign w:val="bottom"/>
            <w:hideMark/>
          </w:tcPr>
          <w:p w14:paraId="6EE297B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574,50</w:t>
            </w:r>
          </w:p>
        </w:tc>
        <w:tc>
          <w:tcPr>
            <w:tcW w:w="931" w:type="dxa"/>
            <w:tcBorders>
              <w:top w:val="nil"/>
              <w:left w:val="nil"/>
              <w:bottom w:val="single" w:sz="4" w:space="0" w:color="auto"/>
              <w:right w:val="single" w:sz="4" w:space="0" w:color="auto"/>
            </w:tcBorders>
            <w:shd w:val="clear" w:color="000000" w:fill="FFFFFF"/>
            <w:noWrap/>
            <w:vAlign w:val="bottom"/>
            <w:hideMark/>
          </w:tcPr>
          <w:p w14:paraId="05E343D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14,00</w:t>
            </w:r>
          </w:p>
        </w:tc>
        <w:tc>
          <w:tcPr>
            <w:tcW w:w="1219" w:type="dxa"/>
            <w:tcBorders>
              <w:top w:val="nil"/>
              <w:left w:val="nil"/>
              <w:bottom w:val="single" w:sz="4" w:space="0" w:color="auto"/>
              <w:right w:val="single" w:sz="4" w:space="0" w:color="auto"/>
            </w:tcBorders>
            <w:shd w:val="clear" w:color="000000" w:fill="FFFFFF"/>
            <w:noWrap/>
            <w:vAlign w:val="bottom"/>
            <w:hideMark/>
          </w:tcPr>
          <w:p w14:paraId="7AAF3CD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70,80</w:t>
            </w:r>
          </w:p>
        </w:tc>
        <w:tc>
          <w:tcPr>
            <w:tcW w:w="1075" w:type="dxa"/>
            <w:tcBorders>
              <w:top w:val="nil"/>
              <w:left w:val="nil"/>
              <w:bottom w:val="single" w:sz="4" w:space="0" w:color="auto"/>
              <w:right w:val="single" w:sz="4" w:space="0" w:color="auto"/>
            </w:tcBorders>
            <w:shd w:val="clear" w:color="000000" w:fill="FFFFFF"/>
            <w:noWrap/>
            <w:vAlign w:val="bottom"/>
            <w:hideMark/>
          </w:tcPr>
          <w:p w14:paraId="2FBDEFD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444,00</w:t>
            </w:r>
          </w:p>
        </w:tc>
      </w:tr>
      <w:tr w:rsidR="002D4864" w:rsidRPr="00620F58" w14:paraId="470AA05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414157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62</w:t>
            </w:r>
          </w:p>
        </w:tc>
        <w:tc>
          <w:tcPr>
            <w:tcW w:w="1845" w:type="dxa"/>
            <w:tcBorders>
              <w:top w:val="nil"/>
              <w:left w:val="nil"/>
              <w:bottom w:val="single" w:sz="4" w:space="0" w:color="auto"/>
              <w:right w:val="single" w:sz="4" w:space="0" w:color="auto"/>
            </w:tcBorders>
            <w:shd w:val="clear" w:color="000000" w:fill="FFFFFF"/>
            <w:noWrap/>
            <w:vAlign w:val="bottom"/>
            <w:hideMark/>
          </w:tcPr>
          <w:p w14:paraId="5189559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CA490D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Mujaste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0564B6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1180,00</w:t>
            </w:r>
          </w:p>
        </w:tc>
        <w:tc>
          <w:tcPr>
            <w:tcW w:w="1120" w:type="dxa"/>
            <w:tcBorders>
              <w:top w:val="nil"/>
              <w:left w:val="nil"/>
              <w:bottom w:val="single" w:sz="4" w:space="0" w:color="auto"/>
              <w:right w:val="single" w:sz="4" w:space="0" w:color="auto"/>
            </w:tcBorders>
            <w:shd w:val="clear" w:color="000000" w:fill="FFFFFF"/>
            <w:noWrap/>
            <w:vAlign w:val="bottom"/>
            <w:hideMark/>
          </w:tcPr>
          <w:p w14:paraId="39983F9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478,00</w:t>
            </w:r>
          </w:p>
        </w:tc>
        <w:tc>
          <w:tcPr>
            <w:tcW w:w="1140" w:type="dxa"/>
            <w:tcBorders>
              <w:top w:val="nil"/>
              <w:left w:val="nil"/>
              <w:bottom w:val="single" w:sz="4" w:space="0" w:color="auto"/>
              <w:right w:val="single" w:sz="4" w:space="0" w:color="auto"/>
            </w:tcBorders>
            <w:shd w:val="clear" w:color="000000" w:fill="FFFFFF"/>
            <w:noWrap/>
            <w:vAlign w:val="bottom"/>
            <w:hideMark/>
          </w:tcPr>
          <w:p w14:paraId="20CD015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1808,00</w:t>
            </w:r>
          </w:p>
        </w:tc>
        <w:tc>
          <w:tcPr>
            <w:tcW w:w="1120" w:type="dxa"/>
            <w:tcBorders>
              <w:top w:val="nil"/>
              <w:left w:val="nil"/>
              <w:bottom w:val="single" w:sz="4" w:space="0" w:color="auto"/>
              <w:right w:val="single" w:sz="4" w:space="0" w:color="auto"/>
            </w:tcBorders>
            <w:shd w:val="clear" w:color="000000" w:fill="FFFFFF"/>
            <w:noWrap/>
            <w:vAlign w:val="bottom"/>
            <w:hideMark/>
          </w:tcPr>
          <w:p w14:paraId="73B92CE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451,00</w:t>
            </w:r>
          </w:p>
        </w:tc>
        <w:tc>
          <w:tcPr>
            <w:tcW w:w="931" w:type="dxa"/>
            <w:tcBorders>
              <w:top w:val="nil"/>
              <w:left w:val="nil"/>
              <w:bottom w:val="single" w:sz="4" w:space="0" w:color="auto"/>
              <w:right w:val="single" w:sz="4" w:space="0" w:color="auto"/>
            </w:tcBorders>
            <w:shd w:val="clear" w:color="000000" w:fill="FFFFFF"/>
            <w:noWrap/>
            <w:vAlign w:val="bottom"/>
            <w:hideMark/>
          </w:tcPr>
          <w:p w14:paraId="21FBE8D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502,00</w:t>
            </w:r>
          </w:p>
        </w:tc>
        <w:tc>
          <w:tcPr>
            <w:tcW w:w="1219" w:type="dxa"/>
            <w:tcBorders>
              <w:top w:val="nil"/>
              <w:left w:val="nil"/>
              <w:bottom w:val="single" w:sz="4" w:space="0" w:color="auto"/>
              <w:right w:val="single" w:sz="4" w:space="0" w:color="auto"/>
            </w:tcBorders>
            <w:shd w:val="clear" w:color="000000" w:fill="FFFFFF"/>
            <w:noWrap/>
            <w:vAlign w:val="bottom"/>
            <w:hideMark/>
          </w:tcPr>
          <w:p w14:paraId="58205AF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159,00</w:t>
            </w:r>
          </w:p>
        </w:tc>
        <w:tc>
          <w:tcPr>
            <w:tcW w:w="1075" w:type="dxa"/>
            <w:tcBorders>
              <w:top w:val="nil"/>
              <w:left w:val="nil"/>
              <w:bottom w:val="single" w:sz="4" w:space="0" w:color="auto"/>
              <w:right w:val="single" w:sz="4" w:space="0" w:color="auto"/>
            </w:tcBorders>
            <w:shd w:val="clear" w:color="000000" w:fill="FFFFFF"/>
            <w:noWrap/>
            <w:vAlign w:val="bottom"/>
            <w:hideMark/>
          </w:tcPr>
          <w:p w14:paraId="6C4FA8C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40,00</w:t>
            </w:r>
          </w:p>
        </w:tc>
      </w:tr>
      <w:tr w:rsidR="002D4864" w:rsidRPr="00620F58" w14:paraId="43368B1C"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DB6703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63</w:t>
            </w:r>
          </w:p>
        </w:tc>
        <w:tc>
          <w:tcPr>
            <w:tcW w:w="1845" w:type="dxa"/>
            <w:tcBorders>
              <w:top w:val="nil"/>
              <w:left w:val="nil"/>
              <w:bottom w:val="single" w:sz="4" w:space="0" w:color="auto"/>
              <w:right w:val="single" w:sz="4" w:space="0" w:color="auto"/>
            </w:tcBorders>
            <w:shd w:val="clear" w:color="000000" w:fill="FFFFFF"/>
            <w:noWrap/>
            <w:vAlign w:val="bottom"/>
            <w:hideMark/>
          </w:tcPr>
          <w:p w14:paraId="5AFCC24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2DB704C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Muratsi</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613F02F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20333,00</w:t>
            </w:r>
          </w:p>
        </w:tc>
        <w:tc>
          <w:tcPr>
            <w:tcW w:w="1120" w:type="dxa"/>
            <w:tcBorders>
              <w:top w:val="nil"/>
              <w:left w:val="nil"/>
              <w:bottom w:val="single" w:sz="4" w:space="0" w:color="auto"/>
              <w:right w:val="single" w:sz="4" w:space="0" w:color="auto"/>
            </w:tcBorders>
            <w:shd w:val="clear" w:color="000000" w:fill="FFFFFF"/>
            <w:noWrap/>
            <w:vAlign w:val="bottom"/>
            <w:hideMark/>
          </w:tcPr>
          <w:p w14:paraId="49625C5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19866,00</w:t>
            </w:r>
          </w:p>
        </w:tc>
        <w:tc>
          <w:tcPr>
            <w:tcW w:w="1140" w:type="dxa"/>
            <w:tcBorders>
              <w:top w:val="nil"/>
              <w:left w:val="nil"/>
              <w:bottom w:val="single" w:sz="4" w:space="0" w:color="auto"/>
              <w:right w:val="single" w:sz="4" w:space="0" w:color="auto"/>
            </w:tcBorders>
            <w:shd w:val="clear" w:color="000000" w:fill="FFFFFF"/>
            <w:noWrap/>
            <w:vAlign w:val="bottom"/>
            <w:hideMark/>
          </w:tcPr>
          <w:p w14:paraId="5D7CFA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30356,00</w:t>
            </w:r>
          </w:p>
        </w:tc>
        <w:tc>
          <w:tcPr>
            <w:tcW w:w="1120" w:type="dxa"/>
            <w:tcBorders>
              <w:top w:val="nil"/>
              <w:left w:val="nil"/>
              <w:bottom w:val="single" w:sz="4" w:space="0" w:color="auto"/>
              <w:right w:val="single" w:sz="4" w:space="0" w:color="auto"/>
            </w:tcBorders>
            <w:shd w:val="clear" w:color="000000" w:fill="FFFFFF"/>
            <w:noWrap/>
            <w:vAlign w:val="bottom"/>
            <w:hideMark/>
          </w:tcPr>
          <w:p w14:paraId="1E938D6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17986,30</w:t>
            </w:r>
          </w:p>
        </w:tc>
        <w:tc>
          <w:tcPr>
            <w:tcW w:w="931" w:type="dxa"/>
            <w:tcBorders>
              <w:top w:val="nil"/>
              <w:left w:val="nil"/>
              <w:bottom w:val="single" w:sz="4" w:space="0" w:color="auto"/>
              <w:right w:val="single" w:sz="4" w:space="0" w:color="auto"/>
            </w:tcBorders>
            <w:shd w:val="clear" w:color="000000" w:fill="FFFFFF"/>
            <w:noWrap/>
            <w:vAlign w:val="bottom"/>
            <w:hideMark/>
          </w:tcPr>
          <w:p w14:paraId="1DA3F5E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18727,00</w:t>
            </w:r>
          </w:p>
        </w:tc>
        <w:tc>
          <w:tcPr>
            <w:tcW w:w="1219" w:type="dxa"/>
            <w:tcBorders>
              <w:top w:val="nil"/>
              <w:left w:val="nil"/>
              <w:bottom w:val="single" w:sz="4" w:space="0" w:color="auto"/>
              <w:right w:val="single" w:sz="4" w:space="0" w:color="auto"/>
            </w:tcBorders>
            <w:shd w:val="clear" w:color="000000" w:fill="FFFFFF"/>
            <w:noWrap/>
            <w:vAlign w:val="bottom"/>
            <w:hideMark/>
          </w:tcPr>
          <w:p w14:paraId="361E01E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17247,50</w:t>
            </w:r>
          </w:p>
        </w:tc>
        <w:tc>
          <w:tcPr>
            <w:tcW w:w="1075" w:type="dxa"/>
            <w:tcBorders>
              <w:top w:val="nil"/>
              <w:left w:val="nil"/>
              <w:bottom w:val="single" w:sz="4" w:space="0" w:color="auto"/>
              <w:right w:val="single" w:sz="4" w:space="0" w:color="auto"/>
            </w:tcBorders>
            <w:shd w:val="clear" w:color="000000" w:fill="FFFFFF"/>
            <w:noWrap/>
            <w:vAlign w:val="bottom"/>
            <w:hideMark/>
          </w:tcPr>
          <w:p w14:paraId="383ACF7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15787,10</w:t>
            </w:r>
          </w:p>
        </w:tc>
      </w:tr>
      <w:tr w:rsidR="002D4864" w:rsidRPr="00620F58" w14:paraId="13606212"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E837A7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64</w:t>
            </w:r>
          </w:p>
        </w:tc>
        <w:tc>
          <w:tcPr>
            <w:tcW w:w="1845" w:type="dxa"/>
            <w:tcBorders>
              <w:top w:val="nil"/>
              <w:left w:val="nil"/>
              <w:bottom w:val="single" w:sz="4" w:space="0" w:color="auto"/>
              <w:right w:val="single" w:sz="4" w:space="0" w:color="auto"/>
            </w:tcBorders>
            <w:shd w:val="clear" w:color="000000" w:fill="FFFFFF"/>
            <w:noWrap/>
            <w:vAlign w:val="bottom"/>
            <w:hideMark/>
          </w:tcPr>
          <w:p w14:paraId="34FD805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C317F6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Murika</w:t>
            </w:r>
            <w:proofErr w:type="spellEnd"/>
            <w:r w:rsidRPr="002D4864">
              <w:rPr>
                <w:rFonts w:ascii="Times New Roman" w:eastAsia="Times New Roman" w:hAnsi="Times New Roman" w:cs="Times New Roman"/>
                <w:color w:val="000000"/>
                <w:sz w:val="22"/>
                <w:szCs w:val="22"/>
              </w:rPr>
              <w:t xml:space="preserve"> rand</w:t>
            </w:r>
          </w:p>
        </w:tc>
        <w:tc>
          <w:tcPr>
            <w:tcW w:w="1075" w:type="dxa"/>
            <w:tcBorders>
              <w:top w:val="nil"/>
              <w:left w:val="nil"/>
              <w:bottom w:val="single" w:sz="4" w:space="0" w:color="auto"/>
              <w:right w:val="single" w:sz="4" w:space="0" w:color="auto"/>
            </w:tcBorders>
            <w:shd w:val="clear" w:color="000000" w:fill="FFFFFF"/>
            <w:noWrap/>
            <w:vAlign w:val="bottom"/>
            <w:hideMark/>
          </w:tcPr>
          <w:p w14:paraId="11F10DD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1698,00</w:t>
            </w:r>
          </w:p>
        </w:tc>
        <w:tc>
          <w:tcPr>
            <w:tcW w:w="1120" w:type="dxa"/>
            <w:tcBorders>
              <w:top w:val="nil"/>
              <w:left w:val="nil"/>
              <w:bottom w:val="single" w:sz="4" w:space="0" w:color="auto"/>
              <w:right w:val="single" w:sz="4" w:space="0" w:color="auto"/>
            </w:tcBorders>
            <w:shd w:val="clear" w:color="000000" w:fill="FFFFFF"/>
            <w:noWrap/>
            <w:vAlign w:val="bottom"/>
            <w:hideMark/>
          </w:tcPr>
          <w:p w14:paraId="67AD14A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1703,00</w:t>
            </w:r>
          </w:p>
        </w:tc>
        <w:tc>
          <w:tcPr>
            <w:tcW w:w="1140" w:type="dxa"/>
            <w:tcBorders>
              <w:top w:val="nil"/>
              <w:left w:val="nil"/>
              <w:bottom w:val="single" w:sz="4" w:space="0" w:color="auto"/>
              <w:right w:val="single" w:sz="4" w:space="0" w:color="auto"/>
            </w:tcBorders>
            <w:shd w:val="clear" w:color="000000" w:fill="FFFFFF"/>
            <w:noWrap/>
            <w:vAlign w:val="bottom"/>
            <w:hideMark/>
          </w:tcPr>
          <w:p w14:paraId="75FEF85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847,50</w:t>
            </w:r>
          </w:p>
        </w:tc>
        <w:tc>
          <w:tcPr>
            <w:tcW w:w="1120" w:type="dxa"/>
            <w:tcBorders>
              <w:top w:val="nil"/>
              <w:left w:val="nil"/>
              <w:bottom w:val="single" w:sz="4" w:space="0" w:color="auto"/>
              <w:right w:val="single" w:sz="4" w:space="0" w:color="auto"/>
            </w:tcBorders>
            <w:shd w:val="clear" w:color="000000" w:fill="FFFFFF"/>
            <w:noWrap/>
            <w:vAlign w:val="bottom"/>
            <w:hideMark/>
          </w:tcPr>
          <w:p w14:paraId="5189934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1396,50</w:t>
            </w:r>
          </w:p>
        </w:tc>
        <w:tc>
          <w:tcPr>
            <w:tcW w:w="931" w:type="dxa"/>
            <w:tcBorders>
              <w:top w:val="nil"/>
              <w:left w:val="nil"/>
              <w:bottom w:val="single" w:sz="4" w:space="0" w:color="auto"/>
              <w:right w:val="single" w:sz="4" w:space="0" w:color="auto"/>
            </w:tcBorders>
            <w:shd w:val="clear" w:color="000000" w:fill="FFFFFF"/>
            <w:noWrap/>
            <w:vAlign w:val="bottom"/>
            <w:hideMark/>
          </w:tcPr>
          <w:p w14:paraId="25E489E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1733,00</w:t>
            </w:r>
          </w:p>
        </w:tc>
        <w:tc>
          <w:tcPr>
            <w:tcW w:w="1219" w:type="dxa"/>
            <w:tcBorders>
              <w:top w:val="nil"/>
              <w:left w:val="nil"/>
              <w:bottom w:val="single" w:sz="4" w:space="0" w:color="auto"/>
              <w:right w:val="single" w:sz="4" w:space="0" w:color="auto"/>
            </w:tcBorders>
            <w:shd w:val="clear" w:color="000000" w:fill="FFFFFF"/>
            <w:noWrap/>
            <w:vAlign w:val="bottom"/>
            <w:hideMark/>
          </w:tcPr>
          <w:p w14:paraId="4B8C0F3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731,50</w:t>
            </w:r>
          </w:p>
        </w:tc>
        <w:tc>
          <w:tcPr>
            <w:tcW w:w="1075" w:type="dxa"/>
            <w:tcBorders>
              <w:top w:val="nil"/>
              <w:left w:val="nil"/>
              <w:bottom w:val="single" w:sz="4" w:space="0" w:color="auto"/>
              <w:right w:val="single" w:sz="4" w:space="0" w:color="auto"/>
            </w:tcBorders>
            <w:shd w:val="clear" w:color="000000" w:fill="FFFFFF"/>
            <w:noWrap/>
            <w:vAlign w:val="bottom"/>
            <w:hideMark/>
          </w:tcPr>
          <w:p w14:paraId="573124D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994,50</w:t>
            </w:r>
          </w:p>
        </w:tc>
      </w:tr>
      <w:tr w:rsidR="002D4864" w:rsidRPr="00620F58" w14:paraId="2F7B0AE2"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39F04F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w:t>
            </w:r>
          </w:p>
        </w:tc>
        <w:tc>
          <w:tcPr>
            <w:tcW w:w="1845" w:type="dxa"/>
            <w:tcBorders>
              <w:top w:val="nil"/>
              <w:left w:val="nil"/>
              <w:bottom w:val="single" w:sz="4" w:space="0" w:color="auto"/>
              <w:right w:val="single" w:sz="4" w:space="0" w:color="auto"/>
            </w:tcBorders>
            <w:shd w:val="clear" w:color="000000" w:fill="FFFFFF"/>
            <w:noWrap/>
            <w:vAlign w:val="bottom"/>
            <w:hideMark/>
          </w:tcPr>
          <w:p w14:paraId="368E229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05D1D0C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Mõntu Sadam</w:t>
            </w:r>
          </w:p>
        </w:tc>
        <w:tc>
          <w:tcPr>
            <w:tcW w:w="1075" w:type="dxa"/>
            <w:tcBorders>
              <w:top w:val="nil"/>
              <w:left w:val="nil"/>
              <w:bottom w:val="single" w:sz="4" w:space="0" w:color="auto"/>
              <w:right w:val="single" w:sz="4" w:space="0" w:color="auto"/>
            </w:tcBorders>
            <w:shd w:val="clear" w:color="000000" w:fill="FFFFFF"/>
            <w:noWrap/>
            <w:vAlign w:val="bottom"/>
            <w:hideMark/>
          </w:tcPr>
          <w:p w14:paraId="5D44090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1188,00</w:t>
            </w:r>
          </w:p>
        </w:tc>
        <w:tc>
          <w:tcPr>
            <w:tcW w:w="1120" w:type="dxa"/>
            <w:tcBorders>
              <w:top w:val="nil"/>
              <w:left w:val="nil"/>
              <w:bottom w:val="single" w:sz="4" w:space="0" w:color="auto"/>
              <w:right w:val="single" w:sz="4" w:space="0" w:color="auto"/>
            </w:tcBorders>
            <w:shd w:val="clear" w:color="000000" w:fill="FFFFFF"/>
            <w:noWrap/>
            <w:vAlign w:val="bottom"/>
            <w:hideMark/>
          </w:tcPr>
          <w:p w14:paraId="161C745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219,00</w:t>
            </w:r>
          </w:p>
        </w:tc>
        <w:tc>
          <w:tcPr>
            <w:tcW w:w="1140" w:type="dxa"/>
            <w:tcBorders>
              <w:top w:val="nil"/>
              <w:left w:val="nil"/>
              <w:bottom w:val="single" w:sz="4" w:space="0" w:color="auto"/>
              <w:right w:val="single" w:sz="4" w:space="0" w:color="auto"/>
            </w:tcBorders>
            <w:shd w:val="clear" w:color="000000" w:fill="FFFFFF"/>
            <w:noWrap/>
            <w:vAlign w:val="bottom"/>
            <w:hideMark/>
          </w:tcPr>
          <w:p w14:paraId="5CA7288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29,00</w:t>
            </w:r>
          </w:p>
        </w:tc>
        <w:tc>
          <w:tcPr>
            <w:tcW w:w="1120" w:type="dxa"/>
            <w:tcBorders>
              <w:top w:val="nil"/>
              <w:left w:val="nil"/>
              <w:bottom w:val="single" w:sz="4" w:space="0" w:color="auto"/>
              <w:right w:val="single" w:sz="4" w:space="0" w:color="auto"/>
            </w:tcBorders>
            <w:shd w:val="clear" w:color="000000" w:fill="FFFFFF"/>
            <w:noWrap/>
            <w:vAlign w:val="bottom"/>
            <w:hideMark/>
          </w:tcPr>
          <w:p w14:paraId="13CAD2D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104,20</w:t>
            </w:r>
          </w:p>
        </w:tc>
        <w:tc>
          <w:tcPr>
            <w:tcW w:w="931" w:type="dxa"/>
            <w:tcBorders>
              <w:top w:val="nil"/>
              <w:left w:val="nil"/>
              <w:bottom w:val="single" w:sz="4" w:space="0" w:color="auto"/>
              <w:right w:val="single" w:sz="4" w:space="0" w:color="auto"/>
            </w:tcBorders>
            <w:shd w:val="clear" w:color="000000" w:fill="FFFFFF"/>
            <w:noWrap/>
            <w:vAlign w:val="bottom"/>
            <w:hideMark/>
          </w:tcPr>
          <w:p w14:paraId="6706FEA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85,00</w:t>
            </w:r>
          </w:p>
        </w:tc>
        <w:tc>
          <w:tcPr>
            <w:tcW w:w="1219" w:type="dxa"/>
            <w:tcBorders>
              <w:top w:val="nil"/>
              <w:left w:val="nil"/>
              <w:bottom w:val="single" w:sz="4" w:space="0" w:color="auto"/>
              <w:right w:val="single" w:sz="4" w:space="0" w:color="auto"/>
            </w:tcBorders>
            <w:shd w:val="clear" w:color="000000" w:fill="FFFFFF"/>
            <w:noWrap/>
            <w:vAlign w:val="bottom"/>
            <w:hideMark/>
          </w:tcPr>
          <w:p w14:paraId="1264659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110,50</w:t>
            </w:r>
          </w:p>
        </w:tc>
        <w:tc>
          <w:tcPr>
            <w:tcW w:w="1075" w:type="dxa"/>
            <w:tcBorders>
              <w:top w:val="nil"/>
              <w:left w:val="nil"/>
              <w:bottom w:val="single" w:sz="4" w:space="0" w:color="auto"/>
              <w:right w:val="single" w:sz="4" w:space="0" w:color="auto"/>
            </w:tcBorders>
            <w:shd w:val="clear" w:color="000000" w:fill="FFFFFF"/>
            <w:noWrap/>
            <w:vAlign w:val="bottom"/>
            <w:hideMark/>
          </w:tcPr>
          <w:p w14:paraId="309A6E0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93,50</w:t>
            </w:r>
          </w:p>
        </w:tc>
      </w:tr>
      <w:tr w:rsidR="002D4864" w:rsidRPr="00620F58" w14:paraId="542BB06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E5D56D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66</w:t>
            </w:r>
          </w:p>
        </w:tc>
        <w:tc>
          <w:tcPr>
            <w:tcW w:w="1845" w:type="dxa"/>
            <w:tcBorders>
              <w:top w:val="nil"/>
              <w:left w:val="nil"/>
              <w:bottom w:val="single" w:sz="4" w:space="0" w:color="auto"/>
              <w:right w:val="single" w:sz="4" w:space="0" w:color="auto"/>
            </w:tcBorders>
            <w:shd w:val="clear" w:color="000000" w:fill="FFFFFF"/>
            <w:noWrap/>
            <w:vAlign w:val="bottom"/>
            <w:hideMark/>
          </w:tcPr>
          <w:p w14:paraId="7DDA6986"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3F0F2294"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Mõntu Väikelaevasadam</w:t>
            </w:r>
          </w:p>
        </w:tc>
        <w:tc>
          <w:tcPr>
            <w:tcW w:w="1075" w:type="dxa"/>
            <w:tcBorders>
              <w:top w:val="nil"/>
              <w:left w:val="nil"/>
              <w:bottom w:val="single" w:sz="4" w:space="0" w:color="auto"/>
              <w:right w:val="single" w:sz="4" w:space="0" w:color="auto"/>
            </w:tcBorders>
            <w:shd w:val="clear" w:color="000000" w:fill="FFFFFF"/>
            <w:noWrap/>
            <w:vAlign w:val="bottom"/>
            <w:hideMark/>
          </w:tcPr>
          <w:p w14:paraId="42AE6CF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4421,90</w:t>
            </w:r>
          </w:p>
        </w:tc>
        <w:tc>
          <w:tcPr>
            <w:tcW w:w="1120" w:type="dxa"/>
            <w:tcBorders>
              <w:top w:val="nil"/>
              <w:left w:val="nil"/>
              <w:bottom w:val="single" w:sz="4" w:space="0" w:color="auto"/>
              <w:right w:val="single" w:sz="4" w:space="0" w:color="auto"/>
            </w:tcBorders>
            <w:shd w:val="clear" w:color="000000" w:fill="FFFFFF"/>
            <w:noWrap/>
            <w:vAlign w:val="bottom"/>
            <w:hideMark/>
          </w:tcPr>
          <w:p w14:paraId="38983553"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2400,00</w:t>
            </w:r>
          </w:p>
        </w:tc>
        <w:tc>
          <w:tcPr>
            <w:tcW w:w="1140" w:type="dxa"/>
            <w:tcBorders>
              <w:top w:val="nil"/>
              <w:left w:val="nil"/>
              <w:bottom w:val="single" w:sz="4" w:space="0" w:color="auto"/>
              <w:right w:val="single" w:sz="4" w:space="0" w:color="auto"/>
            </w:tcBorders>
            <w:shd w:val="clear" w:color="000000" w:fill="FFFFFF"/>
            <w:noWrap/>
            <w:vAlign w:val="bottom"/>
            <w:hideMark/>
          </w:tcPr>
          <w:p w14:paraId="42427DF4"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121,25</w:t>
            </w:r>
          </w:p>
        </w:tc>
        <w:tc>
          <w:tcPr>
            <w:tcW w:w="1120" w:type="dxa"/>
            <w:tcBorders>
              <w:top w:val="nil"/>
              <w:left w:val="nil"/>
              <w:bottom w:val="single" w:sz="4" w:space="0" w:color="auto"/>
              <w:right w:val="single" w:sz="4" w:space="0" w:color="auto"/>
            </w:tcBorders>
            <w:shd w:val="clear" w:color="000000" w:fill="FFFFFF"/>
            <w:noWrap/>
            <w:vAlign w:val="bottom"/>
            <w:hideMark/>
          </w:tcPr>
          <w:p w14:paraId="0BE6DA74"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393,00</w:t>
            </w:r>
          </w:p>
        </w:tc>
        <w:tc>
          <w:tcPr>
            <w:tcW w:w="931" w:type="dxa"/>
            <w:tcBorders>
              <w:top w:val="nil"/>
              <w:left w:val="nil"/>
              <w:bottom w:val="single" w:sz="4" w:space="0" w:color="auto"/>
              <w:right w:val="single" w:sz="4" w:space="0" w:color="auto"/>
            </w:tcBorders>
            <w:shd w:val="clear" w:color="000000" w:fill="FFFFFF"/>
            <w:noWrap/>
            <w:vAlign w:val="bottom"/>
            <w:hideMark/>
          </w:tcPr>
          <w:p w14:paraId="32573B54"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184,00</w:t>
            </w:r>
          </w:p>
        </w:tc>
        <w:tc>
          <w:tcPr>
            <w:tcW w:w="1219" w:type="dxa"/>
            <w:tcBorders>
              <w:top w:val="nil"/>
              <w:left w:val="nil"/>
              <w:bottom w:val="single" w:sz="4" w:space="0" w:color="auto"/>
              <w:right w:val="single" w:sz="4" w:space="0" w:color="auto"/>
            </w:tcBorders>
            <w:shd w:val="clear" w:color="000000" w:fill="FFFFFF"/>
            <w:noWrap/>
            <w:vAlign w:val="bottom"/>
            <w:hideMark/>
          </w:tcPr>
          <w:p w14:paraId="578BDF47"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42,50</w:t>
            </w:r>
          </w:p>
        </w:tc>
        <w:tc>
          <w:tcPr>
            <w:tcW w:w="1075" w:type="dxa"/>
            <w:tcBorders>
              <w:top w:val="nil"/>
              <w:left w:val="nil"/>
              <w:bottom w:val="single" w:sz="4" w:space="0" w:color="auto"/>
              <w:right w:val="single" w:sz="4" w:space="0" w:color="auto"/>
            </w:tcBorders>
            <w:shd w:val="clear" w:color="000000" w:fill="FFFFFF"/>
            <w:noWrap/>
            <w:vAlign w:val="bottom"/>
            <w:hideMark/>
          </w:tcPr>
          <w:p w14:paraId="2C0197D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4E508E7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B1C602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67</w:t>
            </w:r>
          </w:p>
        </w:tc>
        <w:tc>
          <w:tcPr>
            <w:tcW w:w="1845" w:type="dxa"/>
            <w:tcBorders>
              <w:top w:val="nil"/>
              <w:left w:val="nil"/>
              <w:bottom w:val="single" w:sz="4" w:space="0" w:color="auto"/>
              <w:right w:val="single" w:sz="4" w:space="0" w:color="auto"/>
            </w:tcBorders>
            <w:shd w:val="clear" w:color="000000" w:fill="FFFFFF"/>
            <w:noWrap/>
            <w:vAlign w:val="bottom"/>
            <w:hideMark/>
          </w:tcPr>
          <w:p w14:paraId="7AA26D9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44544D5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Mäebe</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7128080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4874,00</w:t>
            </w:r>
          </w:p>
        </w:tc>
        <w:tc>
          <w:tcPr>
            <w:tcW w:w="1120" w:type="dxa"/>
            <w:tcBorders>
              <w:top w:val="nil"/>
              <w:left w:val="nil"/>
              <w:bottom w:val="single" w:sz="4" w:space="0" w:color="auto"/>
              <w:right w:val="single" w:sz="4" w:space="0" w:color="auto"/>
            </w:tcBorders>
            <w:shd w:val="clear" w:color="000000" w:fill="FFFFFF"/>
            <w:noWrap/>
            <w:vAlign w:val="bottom"/>
            <w:hideMark/>
          </w:tcPr>
          <w:p w14:paraId="27C9C7D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4223,00</w:t>
            </w:r>
          </w:p>
        </w:tc>
        <w:tc>
          <w:tcPr>
            <w:tcW w:w="1140" w:type="dxa"/>
            <w:tcBorders>
              <w:top w:val="nil"/>
              <w:left w:val="nil"/>
              <w:bottom w:val="single" w:sz="4" w:space="0" w:color="auto"/>
              <w:right w:val="single" w:sz="4" w:space="0" w:color="auto"/>
            </w:tcBorders>
            <w:shd w:val="clear" w:color="000000" w:fill="FFFFFF"/>
            <w:noWrap/>
            <w:vAlign w:val="bottom"/>
            <w:hideMark/>
          </w:tcPr>
          <w:p w14:paraId="030388C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3254,90</w:t>
            </w:r>
          </w:p>
        </w:tc>
        <w:tc>
          <w:tcPr>
            <w:tcW w:w="1120" w:type="dxa"/>
            <w:tcBorders>
              <w:top w:val="nil"/>
              <w:left w:val="nil"/>
              <w:bottom w:val="single" w:sz="4" w:space="0" w:color="auto"/>
              <w:right w:val="single" w:sz="4" w:space="0" w:color="auto"/>
            </w:tcBorders>
            <w:shd w:val="clear" w:color="000000" w:fill="FFFFFF"/>
            <w:noWrap/>
            <w:vAlign w:val="bottom"/>
            <w:hideMark/>
          </w:tcPr>
          <w:p w14:paraId="39A1EFD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3640,00</w:t>
            </w:r>
          </w:p>
        </w:tc>
        <w:tc>
          <w:tcPr>
            <w:tcW w:w="931" w:type="dxa"/>
            <w:tcBorders>
              <w:top w:val="nil"/>
              <w:left w:val="nil"/>
              <w:bottom w:val="single" w:sz="4" w:space="0" w:color="auto"/>
              <w:right w:val="single" w:sz="4" w:space="0" w:color="auto"/>
            </w:tcBorders>
            <w:shd w:val="clear" w:color="000000" w:fill="FFFFFF"/>
            <w:noWrap/>
            <w:vAlign w:val="bottom"/>
            <w:hideMark/>
          </w:tcPr>
          <w:p w14:paraId="147AC68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4002,00</w:t>
            </w:r>
          </w:p>
        </w:tc>
        <w:tc>
          <w:tcPr>
            <w:tcW w:w="1219" w:type="dxa"/>
            <w:tcBorders>
              <w:top w:val="nil"/>
              <w:left w:val="nil"/>
              <w:bottom w:val="single" w:sz="4" w:space="0" w:color="auto"/>
              <w:right w:val="single" w:sz="4" w:space="0" w:color="auto"/>
            </w:tcBorders>
            <w:shd w:val="clear" w:color="000000" w:fill="FFFFFF"/>
            <w:noWrap/>
            <w:vAlign w:val="bottom"/>
            <w:hideMark/>
          </w:tcPr>
          <w:p w14:paraId="451EF51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2785,10</w:t>
            </w:r>
          </w:p>
        </w:tc>
        <w:tc>
          <w:tcPr>
            <w:tcW w:w="1075" w:type="dxa"/>
            <w:tcBorders>
              <w:top w:val="nil"/>
              <w:left w:val="nil"/>
              <w:bottom w:val="single" w:sz="4" w:space="0" w:color="auto"/>
              <w:right w:val="single" w:sz="4" w:space="0" w:color="auto"/>
            </w:tcBorders>
            <w:shd w:val="clear" w:color="000000" w:fill="FFFFFF"/>
            <w:noWrap/>
            <w:vAlign w:val="bottom"/>
            <w:hideMark/>
          </w:tcPr>
          <w:p w14:paraId="4FAD819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3070,75</w:t>
            </w:r>
          </w:p>
        </w:tc>
      </w:tr>
      <w:tr w:rsidR="002D4864" w:rsidRPr="00620F58" w14:paraId="4CADF44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37534B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68</w:t>
            </w:r>
          </w:p>
        </w:tc>
        <w:tc>
          <w:tcPr>
            <w:tcW w:w="1845" w:type="dxa"/>
            <w:tcBorders>
              <w:top w:val="nil"/>
              <w:left w:val="nil"/>
              <w:bottom w:val="single" w:sz="4" w:space="0" w:color="auto"/>
              <w:right w:val="single" w:sz="4" w:space="0" w:color="auto"/>
            </w:tcBorders>
            <w:shd w:val="clear" w:color="000000" w:fill="FFFFFF"/>
            <w:noWrap/>
            <w:vAlign w:val="bottom"/>
            <w:hideMark/>
          </w:tcPr>
          <w:p w14:paraId="4273CB5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F4B817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Mändjala</w:t>
            </w:r>
          </w:p>
        </w:tc>
        <w:tc>
          <w:tcPr>
            <w:tcW w:w="1075" w:type="dxa"/>
            <w:tcBorders>
              <w:top w:val="nil"/>
              <w:left w:val="nil"/>
              <w:bottom w:val="single" w:sz="4" w:space="0" w:color="auto"/>
              <w:right w:val="single" w:sz="4" w:space="0" w:color="auto"/>
            </w:tcBorders>
            <w:shd w:val="clear" w:color="000000" w:fill="FFFFFF"/>
            <w:noWrap/>
            <w:vAlign w:val="bottom"/>
            <w:hideMark/>
          </w:tcPr>
          <w:p w14:paraId="3EB1D3E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57,50</w:t>
            </w:r>
          </w:p>
        </w:tc>
        <w:tc>
          <w:tcPr>
            <w:tcW w:w="1120" w:type="dxa"/>
            <w:tcBorders>
              <w:top w:val="nil"/>
              <w:left w:val="nil"/>
              <w:bottom w:val="single" w:sz="4" w:space="0" w:color="auto"/>
              <w:right w:val="single" w:sz="4" w:space="0" w:color="auto"/>
            </w:tcBorders>
            <w:shd w:val="clear" w:color="000000" w:fill="FFFFFF"/>
            <w:noWrap/>
            <w:vAlign w:val="bottom"/>
            <w:hideMark/>
          </w:tcPr>
          <w:p w14:paraId="471ADE2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11,50</w:t>
            </w:r>
          </w:p>
        </w:tc>
        <w:tc>
          <w:tcPr>
            <w:tcW w:w="1140" w:type="dxa"/>
            <w:tcBorders>
              <w:top w:val="nil"/>
              <w:left w:val="nil"/>
              <w:bottom w:val="single" w:sz="4" w:space="0" w:color="auto"/>
              <w:right w:val="single" w:sz="4" w:space="0" w:color="auto"/>
            </w:tcBorders>
            <w:shd w:val="clear" w:color="000000" w:fill="FFFFFF"/>
            <w:noWrap/>
            <w:vAlign w:val="bottom"/>
            <w:hideMark/>
          </w:tcPr>
          <w:p w14:paraId="6CC9F9A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150,00</w:t>
            </w:r>
          </w:p>
        </w:tc>
        <w:tc>
          <w:tcPr>
            <w:tcW w:w="1120" w:type="dxa"/>
            <w:tcBorders>
              <w:top w:val="nil"/>
              <w:left w:val="nil"/>
              <w:bottom w:val="single" w:sz="4" w:space="0" w:color="auto"/>
              <w:right w:val="single" w:sz="4" w:space="0" w:color="auto"/>
            </w:tcBorders>
            <w:shd w:val="clear" w:color="000000" w:fill="FFFFFF"/>
            <w:noWrap/>
            <w:vAlign w:val="bottom"/>
            <w:hideMark/>
          </w:tcPr>
          <w:p w14:paraId="1B7A5F7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000000" w:fill="FFFFFF"/>
            <w:noWrap/>
            <w:vAlign w:val="bottom"/>
            <w:hideMark/>
          </w:tcPr>
          <w:p w14:paraId="40AC56A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30,00</w:t>
            </w:r>
          </w:p>
        </w:tc>
        <w:tc>
          <w:tcPr>
            <w:tcW w:w="1219" w:type="dxa"/>
            <w:tcBorders>
              <w:top w:val="nil"/>
              <w:left w:val="nil"/>
              <w:bottom w:val="single" w:sz="4" w:space="0" w:color="auto"/>
              <w:right w:val="single" w:sz="4" w:space="0" w:color="auto"/>
            </w:tcBorders>
            <w:shd w:val="clear" w:color="000000" w:fill="FFFFFF"/>
            <w:noWrap/>
            <w:vAlign w:val="bottom"/>
            <w:hideMark/>
          </w:tcPr>
          <w:p w14:paraId="2E8628E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41,10</w:t>
            </w:r>
          </w:p>
        </w:tc>
        <w:tc>
          <w:tcPr>
            <w:tcW w:w="1075" w:type="dxa"/>
            <w:tcBorders>
              <w:top w:val="nil"/>
              <w:left w:val="nil"/>
              <w:bottom w:val="single" w:sz="4" w:space="0" w:color="auto"/>
              <w:right w:val="single" w:sz="4" w:space="0" w:color="auto"/>
            </w:tcBorders>
            <w:shd w:val="clear" w:color="000000" w:fill="FFFFFF"/>
            <w:noWrap/>
            <w:vAlign w:val="bottom"/>
            <w:hideMark/>
          </w:tcPr>
          <w:p w14:paraId="6BDB072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33,50</w:t>
            </w:r>
          </w:p>
        </w:tc>
      </w:tr>
      <w:tr w:rsidR="002D4864" w:rsidRPr="00620F58" w14:paraId="58506EC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88024F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69</w:t>
            </w:r>
          </w:p>
        </w:tc>
        <w:tc>
          <w:tcPr>
            <w:tcW w:w="1845" w:type="dxa"/>
            <w:tcBorders>
              <w:top w:val="nil"/>
              <w:left w:val="nil"/>
              <w:bottom w:val="single" w:sz="4" w:space="0" w:color="auto"/>
              <w:right w:val="single" w:sz="4" w:space="0" w:color="auto"/>
            </w:tcBorders>
            <w:shd w:val="clear" w:color="000000" w:fill="FFFFFF"/>
            <w:noWrap/>
            <w:vAlign w:val="bottom"/>
            <w:hideMark/>
          </w:tcPr>
          <w:p w14:paraId="7717499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36FC7C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Männiku lautri</w:t>
            </w:r>
          </w:p>
        </w:tc>
        <w:tc>
          <w:tcPr>
            <w:tcW w:w="1075" w:type="dxa"/>
            <w:tcBorders>
              <w:top w:val="nil"/>
              <w:left w:val="nil"/>
              <w:bottom w:val="single" w:sz="4" w:space="0" w:color="auto"/>
              <w:right w:val="single" w:sz="4" w:space="0" w:color="auto"/>
            </w:tcBorders>
            <w:shd w:val="clear" w:color="000000" w:fill="FFFFFF"/>
            <w:noWrap/>
            <w:vAlign w:val="bottom"/>
            <w:hideMark/>
          </w:tcPr>
          <w:p w14:paraId="024F08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240,00</w:t>
            </w:r>
          </w:p>
        </w:tc>
        <w:tc>
          <w:tcPr>
            <w:tcW w:w="1120" w:type="dxa"/>
            <w:tcBorders>
              <w:top w:val="nil"/>
              <w:left w:val="nil"/>
              <w:bottom w:val="single" w:sz="4" w:space="0" w:color="auto"/>
              <w:right w:val="single" w:sz="4" w:space="0" w:color="auto"/>
            </w:tcBorders>
            <w:shd w:val="clear" w:color="000000" w:fill="FFFFFF"/>
            <w:noWrap/>
            <w:vAlign w:val="bottom"/>
            <w:hideMark/>
          </w:tcPr>
          <w:p w14:paraId="2CF7019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467,00</w:t>
            </w:r>
          </w:p>
        </w:tc>
        <w:tc>
          <w:tcPr>
            <w:tcW w:w="1140" w:type="dxa"/>
            <w:tcBorders>
              <w:top w:val="nil"/>
              <w:left w:val="nil"/>
              <w:bottom w:val="single" w:sz="4" w:space="0" w:color="auto"/>
              <w:right w:val="single" w:sz="4" w:space="0" w:color="auto"/>
            </w:tcBorders>
            <w:shd w:val="clear" w:color="000000" w:fill="FFFFFF"/>
            <w:noWrap/>
            <w:vAlign w:val="bottom"/>
            <w:hideMark/>
          </w:tcPr>
          <w:p w14:paraId="1B04315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0AE64F7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000000" w:fill="FFFFFF"/>
            <w:noWrap/>
            <w:vAlign w:val="bottom"/>
            <w:hideMark/>
          </w:tcPr>
          <w:p w14:paraId="408284A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w:t>
            </w:r>
          </w:p>
        </w:tc>
        <w:tc>
          <w:tcPr>
            <w:tcW w:w="1219" w:type="dxa"/>
            <w:tcBorders>
              <w:top w:val="nil"/>
              <w:left w:val="nil"/>
              <w:bottom w:val="single" w:sz="4" w:space="0" w:color="auto"/>
              <w:right w:val="single" w:sz="4" w:space="0" w:color="auto"/>
            </w:tcBorders>
            <w:shd w:val="clear" w:color="000000" w:fill="FFFFFF"/>
            <w:noWrap/>
            <w:vAlign w:val="bottom"/>
            <w:hideMark/>
          </w:tcPr>
          <w:p w14:paraId="6A27FC5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000000" w:fill="FFFFFF"/>
            <w:noWrap/>
            <w:vAlign w:val="bottom"/>
            <w:hideMark/>
          </w:tcPr>
          <w:p w14:paraId="1B098C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269,50</w:t>
            </w:r>
          </w:p>
        </w:tc>
      </w:tr>
      <w:tr w:rsidR="002D4864" w:rsidRPr="00620F58" w14:paraId="4999F172"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0B69E0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70</w:t>
            </w:r>
          </w:p>
        </w:tc>
        <w:tc>
          <w:tcPr>
            <w:tcW w:w="1845" w:type="dxa"/>
            <w:tcBorders>
              <w:top w:val="nil"/>
              <w:left w:val="nil"/>
              <w:bottom w:val="single" w:sz="4" w:space="0" w:color="auto"/>
              <w:right w:val="single" w:sz="4" w:space="0" w:color="auto"/>
            </w:tcBorders>
            <w:shd w:val="clear" w:color="000000" w:fill="FFFFFF"/>
            <w:noWrap/>
            <w:vAlign w:val="bottom"/>
            <w:hideMark/>
          </w:tcPr>
          <w:p w14:paraId="18D8AB2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4B2A339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Möldri</w:t>
            </w:r>
          </w:p>
        </w:tc>
        <w:tc>
          <w:tcPr>
            <w:tcW w:w="1075" w:type="dxa"/>
            <w:tcBorders>
              <w:top w:val="nil"/>
              <w:left w:val="nil"/>
              <w:bottom w:val="single" w:sz="4" w:space="0" w:color="auto"/>
              <w:right w:val="single" w:sz="4" w:space="0" w:color="auto"/>
            </w:tcBorders>
            <w:shd w:val="clear" w:color="000000" w:fill="FFFFFF"/>
            <w:noWrap/>
            <w:vAlign w:val="bottom"/>
            <w:hideMark/>
          </w:tcPr>
          <w:p w14:paraId="2D09BB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145,50</w:t>
            </w:r>
          </w:p>
        </w:tc>
        <w:tc>
          <w:tcPr>
            <w:tcW w:w="1120" w:type="dxa"/>
            <w:tcBorders>
              <w:top w:val="nil"/>
              <w:left w:val="nil"/>
              <w:bottom w:val="single" w:sz="4" w:space="0" w:color="auto"/>
              <w:right w:val="single" w:sz="4" w:space="0" w:color="auto"/>
            </w:tcBorders>
            <w:shd w:val="clear" w:color="000000" w:fill="FFFFFF"/>
            <w:noWrap/>
            <w:vAlign w:val="bottom"/>
            <w:hideMark/>
          </w:tcPr>
          <w:p w14:paraId="695C152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14,00</w:t>
            </w:r>
          </w:p>
        </w:tc>
        <w:tc>
          <w:tcPr>
            <w:tcW w:w="1140" w:type="dxa"/>
            <w:tcBorders>
              <w:top w:val="nil"/>
              <w:left w:val="nil"/>
              <w:bottom w:val="single" w:sz="4" w:space="0" w:color="auto"/>
              <w:right w:val="single" w:sz="4" w:space="0" w:color="auto"/>
            </w:tcBorders>
            <w:shd w:val="clear" w:color="000000" w:fill="FFFFFF"/>
            <w:noWrap/>
            <w:vAlign w:val="bottom"/>
            <w:hideMark/>
          </w:tcPr>
          <w:p w14:paraId="0CA4A6A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497,00</w:t>
            </w:r>
          </w:p>
        </w:tc>
        <w:tc>
          <w:tcPr>
            <w:tcW w:w="1120" w:type="dxa"/>
            <w:tcBorders>
              <w:top w:val="nil"/>
              <w:left w:val="nil"/>
              <w:bottom w:val="single" w:sz="4" w:space="0" w:color="auto"/>
              <w:right w:val="single" w:sz="4" w:space="0" w:color="auto"/>
            </w:tcBorders>
            <w:shd w:val="clear" w:color="000000" w:fill="FFFFFF"/>
            <w:noWrap/>
            <w:vAlign w:val="bottom"/>
            <w:hideMark/>
          </w:tcPr>
          <w:p w14:paraId="2399351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000000" w:fill="FFFFFF"/>
            <w:noWrap/>
            <w:vAlign w:val="bottom"/>
            <w:hideMark/>
          </w:tcPr>
          <w:p w14:paraId="4795D16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89,00</w:t>
            </w:r>
          </w:p>
        </w:tc>
        <w:tc>
          <w:tcPr>
            <w:tcW w:w="1219" w:type="dxa"/>
            <w:tcBorders>
              <w:top w:val="nil"/>
              <w:left w:val="nil"/>
              <w:bottom w:val="single" w:sz="4" w:space="0" w:color="auto"/>
              <w:right w:val="single" w:sz="4" w:space="0" w:color="auto"/>
            </w:tcBorders>
            <w:shd w:val="clear" w:color="000000" w:fill="FFFFFF"/>
            <w:noWrap/>
            <w:vAlign w:val="bottom"/>
            <w:hideMark/>
          </w:tcPr>
          <w:p w14:paraId="59900CE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282,70</w:t>
            </w:r>
          </w:p>
        </w:tc>
        <w:tc>
          <w:tcPr>
            <w:tcW w:w="1075" w:type="dxa"/>
            <w:tcBorders>
              <w:top w:val="nil"/>
              <w:left w:val="nil"/>
              <w:bottom w:val="single" w:sz="4" w:space="0" w:color="auto"/>
              <w:right w:val="single" w:sz="4" w:space="0" w:color="auto"/>
            </w:tcBorders>
            <w:shd w:val="clear" w:color="000000" w:fill="FFFFFF"/>
            <w:noWrap/>
            <w:vAlign w:val="bottom"/>
            <w:hideMark/>
          </w:tcPr>
          <w:p w14:paraId="064CC12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15,00</w:t>
            </w:r>
          </w:p>
        </w:tc>
      </w:tr>
      <w:tr w:rsidR="002D4864" w:rsidRPr="00620F58" w14:paraId="648CEDA6"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1D06FD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71</w:t>
            </w:r>
          </w:p>
        </w:tc>
        <w:tc>
          <w:tcPr>
            <w:tcW w:w="1845" w:type="dxa"/>
            <w:tcBorders>
              <w:top w:val="nil"/>
              <w:left w:val="nil"/>
              <w:bottom w:val="single" w:sz="4" w:space="0" w:color="auto"/>
              <w:right w:val="single" w:sz="4" w:space="0" w:color="auto"/>
            </w:tcBorders>
            <w:shd w:val="clear" w:color="000000" w:fill="FFFFFF"/>
            <w:noWrap/>
            <w:vAlign w:val="bottom"/>
            <w:hideMark/>
          </w:tcPr>
          <w:p w14:paraId="245E70C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56186F0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Nasva Jõesadam</w:t>
            </w:r>
          </w:p>
        </w:tc>
        <w:tc>
          <w:tcPr>
            <w:tcW w:w="1075" w:type="dxa"/>
            <w:tcBorders>
              <w:top w:val="nil"/>
              <w:left w:val="nil"/>
              <w:bottom w:val="single" w:sz="4" w:space="0" w:color="auto"/>
              <w:right w:val="single" w:sz="4" w:space="0" w:color="auto"/>
            </w:tcBorders>
            <w:shd w:val="clear" w:color="000000" w:fill="FFFFFF"/>
            <w:noWrap/>
            <w:vAlign w:val="bottom"/>
            <w:hideMark/>
          </w:tcPr>
          <w:p w14:paraId="02696F3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208930,80</w:t>
            </w:r>
          </w:p>
        </w:tc>
        <w:tc>
          <w:tcPr>
            <w:tcW w:w="1120" w:type="dxa"/>
            <w:tcBorders>
              <w:top w:val="nil"/>
              <w:left w:val="nil"/>
              <w:bottom w:val="single" w:sz="4" w:space="0" w:color="auto"/>
              <w:right w:val="single" w:sz="4" w:space="0" w:color="auto"/>
            </w:tcBorders>
            <w:shd w:val="clear" w:color="000000" w:fill="FFFFFF"/>
            <w:noWrap/>
            <w:vAlign w:val="bottom"/>
            <w:hideMark/>
          </w:tcPr>
          <w:p w14:paraId="21DC3F8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273093,58</w:t>
            </w:r>
          </w:p>
        </w:tc>
        <w:tc>
          <w:tcPr>
            <w:tcW w:w="1140" w:type="dxa"/>
            <w:tcBorders>
              <w:top w:val="nil"/>
              <w:left w:val="nil"/>
              <w:bottom w:val="single" w:sz="4" w:space="0" w:color="auto"/>
              <w:right w:val="single" w:sz="4" w:space="0" w:color="auto"/>
            </w:tcBorders>
            <w:shd w:val="clear" w:color="000000" w:fill="FFFFFF"/>
            <w:noWrap/>
            <w:vAlign w:val="bottom"/>
            <w:hideMark/>
          </w:tcPr>
          <w:p w14:paraId="197D56B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194798,30</w:t>
            </w:r>
          </w:p>
        </w:tc>
        <w:tc>
          <w:tcPr>
            <w:tcW w:w="1120" w:type="dxa"/>
            <w:tcBorders>
              <w:top w:val="nil"/>
              <w:left w:val="nil"/>
              <w:bottom w:val="single" w:sz="4" w:space="0" w:color="auto"/>
              <w:right w:val="single" w:sz="4" w:space="0" w:color="auto"/>
            </w:tcBorders>
            <w:shd w:val="clear" w:color="000000" w:fill="FFFFFF"/>
            <w:noWrap/>
            <w:vAlign w:val="bottom"/>
            <w:hideMark/>
          </w:tcPr>
          <w:p w14:paraId="787477F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257542,14</w:t>
            </w:r>
          </w:p>
        </w:tc>
        <w:tc>
          <w:tcPr>
            <w:tcW w:w="931" w:type="dxa"/>
            <w:tcBorders>
              <w:top w:val="nil"/>
              <w:left w:val="nil"/>
              <w:bottom w:val="single" w:sz="4" w:space="0" w:color="auto"/>
              <w:right w:val="single" w:sz="4" w:space="0" w:color="auto"/>
            </w:tcBorders>
            <w:shd w:val="clear" w:color="000000" w:fill="FFFFFF"/>
            <w:noWrap/>
            <w:vAlign w:val="bottom"/>
            <w:hideMark/>
          </w:tcPr>
          <w:p w14:paraId="272AC4C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140313,00</w:t>
            </w:r>
          </w:p>
        </w:tc>
        <w:tc>
          <w:tcPr>
            <w:tcW w:w="1219" w:type="dxa"/>
            <w:tcBorders>
              <w:top w:val="nil"/>
              <w:left w:val="nil"/>
              <w:bottom w:val="single" w:sz="4" w:space="0" w:color="auto"/>
              <w:right w:val="single" w:sz="4" w:space="0" w:color="auto"/>
            </w:tcBorders>
            <w:shd w:val="clear" w:color="000000" w:fill="FFFFFF"/>
            <w:noWrap/>
            <w:vAlign w:val="bottom"/>
            <w:hideMark/>
          </w:tcPr>
          <w:p w14:paraId="2ECCBB6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119859,50</w:t>
            </w:r>
          </w:p>
        </w:tc>
        <w:tc>
          <w:tcPr>
            <w:tcW w:w="1075" w:type="dxa"/>
            <w:tcBorders>
              <w:top w:val="nil"/>
              <w:left w:val="nil"/>
              <w:bottom w:val="single" w:sz="4" w:space="0" w:color="auto"/>
              <w:right w:val="single" w:sz="4" w:space="0" w:color="auto"/>
            </w:tcBorders>
            <w:shd w:val="clear" w:color="000000" w:fill="FFFFFF"/>
            <w:noWrap/>
            <w:vAlign w:val="bottom"/>
            <w:hideMark/>
          </w:tcPr>
          <w:p w14:paraId="7F3D0F9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133732,00</w:t>
            </w:r>
          </w:p>
        </w:tc>
      </w:tr>
      <w:tr w:rsidR="002D4864" w:rsidRPr="00620F58" w14:paraId="30FFB0E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D85DDA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72</w:t>
            </w:r>
          </w:p>
        </w:tc>
        <w:tc>
          <w:tcPr>
            <w:tcW w:w="1845" w:type="dxa"/>
            <w:tcBorders>
              <w:top w:val="nil"/>
              <w:left w:val="nil"/>
              <w:bottom w:val="single" w:sz="4" w:space="0" w:color="auto"/>
              <w:right w:val="single" w:sz="4" w:space="0" w:color="auto"/>
            </w:tcBorders>
            <w:shd w:val="clear" w:color="000000" w:fill="FFFFFF"/>
            <w:noWrap/>
            <w:vAlign w:val="bottom"/>
            <w:hideMark/>
          </w:tcPr>
          <w:p w14:paraId="6394720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50E68E9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Nasva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7FA1FB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10055,30</w:t>
            </w:r>
          </w:p>
        </w:tc>
        <w:tc>
          <w:tcPr>
            <w:tcW w:w="1120" w:type="dxa"/>
            <w:tcBorders>
              <w:top w:val="nil"/>
              <w:left w:val="nil"/>
              <w:bottom w:val="single" w:sz="4" w:space="0" w:color="auto"/>
              <w:right w:val="single" w:sz="4" w:space="0" w:color="auto"/>
            </w:tcBorders>
            <w:shd w:val="clear" w:color="000000" w:fill="FFFFFF"/>
            <w:noWrap/>
            <w:vAlign w:val="bottom"/>
            <w:hideMark/>
          </w:tcPr>
          <w:p w14:paraId="119F5A9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9049,90</w:t>
            </w:r>
          </w:p>
        </w:tc>
        <w:tc>
          <w:tcPr>
            <w:tcW w:w="1140" w:type="dxa"/>
            <w:tcBorders>
              <w:top w:val="nil"/>
              <w:left w:val="nil"/>
              <w:bottom w:val="single" w:sz="4" w:space="0" w:color="auto"/>
              <w:right w:val="single" w:sz="4" w:space="0" w:color="auto"/>
            </w:tcBorders>
            <w:shd w:val="clear" w:color="000000" w:fill="FFFFFF"/>
            <w:noWrap/>
            <w:vAlign w:val="bottom"/>
            <w:hideMark/>
          </w:tcPr>
          <w:p w14:paraId="2962312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8273,40</w:t>
            </w:r>
          </w:p>
        </w:tc>
        <w:tc>
          <w:tcPr>
            <w:tcW w:w="1120" w:type="dxa"/>
            <w:tcBorders>
              <w:top w:val="nil"/>
              <w:left w:val="nil"/>
              <w:bottom w:val="single" w:sz="4" w:space="0" w:color="auto"/>
              <w:right w:val="single" w:sz="4" w:space="0" w:color="auto"/>
            </w:tcBorders>
            <w:shd w:val="clear" w:color="000000" w:fill="FFFFFF"/>
            <w:noWrap/>
            <w:vAlign w:val="bottom"/>
            <w:hideMark/>
          </w:tcPr>
          <w:p w14:paraId="3704CC7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5242,70</w:t>
            </w:r>
          </w:p>
        </w:tc>
        <w:tc>
          <w:tcPr>
            <w:tcW w:w="931" w:type="dxa"/>
            <w:tcBorders>
              <w:top w:val="nil"/>
              <w:left w:val="nil"/>
              <w:bottom w:val="single" w:sz="4" w:space="0" w:color="auto"/>
              <w:right w:val="single" w:sz="4" w:space="0" w:color="auto"/>
            </w:tcBorders>
            <w:shd w:val="clear" w:color="000000" w:fill="FFFFFF"/>
            <w:noWrap/>
            <w:vAlign w:val="bottom"/>
            <w:hideMark/>
          </w:tcPr>
          <w:p w14:paraId="4E257BA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6036,00</w:t>
            </w:r>
          </w:p>
        </w:tc>
        <w:tc>
          <w:tcPr>
            <w:tcW w:w="1219" w:type="dxa"/>
            <w:tcBorders>
              <w:top w:val="nil"/>
              <w:left w:val="nil"/>
              <w:bottom w:val="single" w:sz="4" w:space="0" w:color="auto"/>
              <w:right w:val="single" w:sz="4" w:space="0" w:color="auto"/>
            </w:tcBorders>
            <w:shd w:val="clear" w:color="000000" w:fill="FFFFFF"/>
            <w:noWrap/>
            <w:vAlign w:val="bottom"/>
            <w:hideMark/>
          </w:tcPr>
          <w:p w14:paraId="0F06726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4408,50</w:t>
            </w:r>
          </w:p>
        </w:tc>
        <w:tc>
          <w:tcPr>
            <w:tcW w:w="1075" w:type="dxa"/>
            <w:tcBorders>
              <w:top w:val="nil"/>
              <w:left w:val="nil"/>
              <w:bottom w:val="single" w:sz="4" w:space="0" w:color="auto"/>
              <w:right w:val="single" w:sz="4" w:space="0" w:color="auto"/>
            </w:tcBorders>
            <w:shd w:val="clear" w:color="000000" w:fill="FFFFFF"/>
            <w:noWrap/>
            <w:vAlign w:val="bottom"/>
            <w:hideMark/>
          </w:tcPr>
          <w:p w14:paraId="055F384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7340,00</w:t>
            </w:r>
          </w:p>
        </w:tc>
      </w:tr>
      <w:tr w:rsidR="002D4864" w:rsidRPr="00620F58" w14:paraId="13E78818"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5C313F1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73</w:t>
            </w:r>
          </w:p>
        </w:tc>
        <w:tc>
          <w:tcPr>
            <w:tcW w:w="1845" w:type="dxa"/>
            <w:tcBorders>
              <w:top w:val="nil"/>
              <w:left w:val="nil"/>
              <w:bottom w:val="single" w:sz="4" w:space="0" w:color="auto"/>
              <w:right w:val="single" w:sz="4" w:space="0" w:color="auto"/>
            </w:tcBorders>
            <w:shd w:val="clear" w:color="F8CBAD" w:fill="FFFFFF"/>
            <w:noWrap/>
            <w:vAlign w:val="bottom"/>
            <w:hideMark/>
          </w:tcPr>
          <w:p w14:paraId="684F2F2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40D0A90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Nasva Kuuse</w:t>
            </w:r>
          </w:p>
        </w:tc>
        <w:tc>
          <w:tcPr>
            <w:tcW w:w="1075" w:type="dxa"/>
            <w:tcBorders>
              <w:top w:val="nil"/>
              <w:left w:val="nil"/>
              <w:bottom w:val="single" w:sz="4" w:space="0" w:color="auto"/>
              <w:right w:val="single" w:sz="4" w:space="0" w:color="auto"/>
            </w:tcBorders>
            <w:shd w:val="clear" w:color="F8CBAD" w:fill="FFFFFF"/>
            <w:noWrap/>
            <w:vAlign w:val="bottom"/>
            <w:hideMark/>
          </w:tcPr>
          <w:p w14:paraId="1FF27FA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35176C3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120,00</w:t>
            </w:r>
          </w:p>
        </w:tc>
        <w:tc>
          <w:tcPr>
            <w:tcW w:w="1140" w:type="dxa"/>
            <w:tcBorders>
              <w:top w:val="nil"/>
              <w:left w:val="nil"/>
              <w:bottom w:val="single" w:sz="4" w:space="0" w:color="auto"/>
              <w:right w:val="single" w:sz="4" w:space="0" w:color="auto"/>
            </w:tcBorders>
            <w:shd w:val="clear" w:color="F8CBAD" w:fill="FFFFFF"/>
            <w:noWrap/>
            <w:vAlign w:val="bottom"/>
            <w:hideMark/>
          </w:tcPr>
          <w:p w14:paraId="5E9FC90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32EF26B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1BAC53C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40,00</w:t>
            </w:r>
          </w:p>
        </w:tc>
        <w:tc>
          <w:tcPr>
            <w:tcW w:w="1219" w:type="dxa"/>
            <w:tcBorders>
              <w:top w:val="nil"/>
              <w:left w:val="nil"/>
              <w:bottom w:val="single" w:sz="4" w:space="0" w:color="auto"/>
              <w:right w:val="single" w:sz="4" w:space="0" w:color="auto"/>
            </w:tcBorders>
            <w:shd w:val="clear" w:color="F8CBAD" w:fill="FFFFFF"/>
            <w:noWrap/>
            <w:vAlign w:val="bottom"/>
            <w:hideMark/>
          </w:tcPr>
          <w:p w14:paraId="3D15EBD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0D05004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3FF4B51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45CC95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74</w:t>
            </w:r>
          </w:p>
        </w:tc>
        <w:tc>
          <w:tcPr>
            <w:tcW w:w="1845" w:type="dxa"/>
            <w:tcBorders>
              <w:top w:val="nil"/>
              <w:left w:val="nil"/>
              <w:bottom w:val="single" w:sz="4" w:space="0" w:color="auto"/>
              <w:right w:val="single" w:sz="4" w:space="0" w:color="auto"/>
            </w:tcBorders>
            <w:shd w:val="clear" w:color="000000" w:fill="FFFFFF"/>
            <w:noWrap/>
            <w:vAlign w:val="bottom"/>
            <w:hideMark/>
          </w:tcPr>
          <w:p w14:paraId="66A44F5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4885974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Nenu</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480A29C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130,00</w:t>
            </w:r>
          </w:p>
        </w:tc>
        <w:tc>
          <w:tcPr>
            <w:tcW w:w="1120" w:type="dxa"/>
            <w:tcBorders>
              <w:top w:val="nil"/>
              <w:left w:val="nil"/>
              <w:bottom w:val="single" w:sz="4" w:space="0" w:color="auto"/>
              <w:right w:val="single" w:sz="4" w:space="0" w:color="auto"/>
            </w:tcBorders>
            <w:shd w:val="clear" w:color="000000" w:fill="FFFFFF"/>
            <w:noWrap/>
            <w:vAlign w:val="bottom"/>
            <w:hideMark/>
          </w:tcPr>
          <w:p w14:paraId="48F0C79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1062,30</w:t>
            </w:r>
          </w:p>
        </w:tc>
        <w:tc>
          <w:tcPr>
            <w:tcW w:w="1140" w:type="dxa"/>
            <w:tcBorders>
              <w:top w:val="nil"/>
              <w:left w:val="nil"/>
              <w:bottom w:val="single" w:sz="4" w:space="0" w:color="auto"/>
              <w:right w:val="single" w:sz="4" w:space="0" w:color="auto"/>
            </w:tcBorders>
            <w:shd w:val="clear" w:color="000000" w:fill="FFFFFF"/>
            <w:noWrap/>
            <w:vAlign w:val="bottom"/>
            <w:hideMark/>
          </w:tcPr>
          <w:p w14:paraId="582532E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15472,60</w:t>
            </w:r>
          </w:p>
        </w:tc>
        <w:tc>
          <w:tcPr>
            <w:tcW w:w="1120" w:type="dxa"/>
            <w:tcBorders>
              <w:top w:val="nil"/>
              <w:left w:val="nil"/>
              <w:bottom w:val="single" w:sz="4" w:space="0" w:color="auto"/>
              <w:right w:val="single" w:sz="4" w:space="0" w:color="auto"/>
            </w:tcBorders>
            <w:shd w:val="clear" w:color="000000" w:fill="FFFFFF"/>
            <w:noWrap/>
            <w:vAlign w:val="bottom"/>
            <w:hideMark/>
          </w:tcPr>
          <w:p w14:paraId="261EECB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18415,90</w:t>
            </w:r>
          </w:p>
        </w:tc>
        <w:tc>
          <w:tcPr>
            <w:tcW w:w="931" w:type="dxa"/>
            <w:tcBorders>
              <w:top w:val="nil"/>
              <w:left w:val="nil"/>
              <w:bottom w:val="single" w:sz="4" w:space="0" w:color="auto"/>
              <w:right w:val="single" w:sz="4" w:space="0" w:color="auto"/>
            </w:tcBorders>
            <w:shd w:val="clear" w:color="000000" w:fill="FFFFFF"/>
            <w:noWrap/>
            <w:vAlign w:val="bottom"/>
            <w:hideMark/>
          </w:tcPr>
          <w:p w14:paraId="0B6ADFD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13654,00</w:t>
            </w:r>
          </w:p>
        </w:tc>
        <w:tc>
          <w:tcPr>
            <w:tcW w:w="1219" w:type="dxa"/>
            <w:tcBorders>
              <w:top w:val="nil"/>
              <w:left w:val="nil"/>
              <w:bottom w:val="single" w:sz="4" w:space="0" w:color="auto"/>
              <w:right w:val="single" w:sz="4" w:space="0" w:color="auto"/>
            </w:tcBorders>
            <w:shd w:val="clear" w:color="000000" w:fill="FFFFFF"/>
            <w:noWrap/>
            <w:vAlign w:val="bottom"/>
            <w:hideMark/>
          </w:tcPr>
          <w:p w14:paraId="1E196AD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24058,48</w:t>
            </w:r>
          </w:p>
        </w:tc>
        <w:tc>
          <w:tcPr>
            <w:tcW w:w="1075" w:type="dxa"/>
            <w:tcBorders>
              <w:top w:val="nil"/>
              <w:left w:val="nil"/>
              <w:bottom w:val="single" w:sz="4" w:space="0" w:color="auto"/>
              <w:right w:val="single" w:sz="4" w:space="0" w:color="auto"/>
            </w:tcBorders>
            <w:shd w:val="clear" w:color="000000" w:fill="FFFFFF"/>
            <w:noWrap/>
            <w:vAlign w:val="bottom"/>
            <w:hideMark/>
          </w:tcPr>
          <w:p w14:paraId="50253F2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28027,40</w:t>
            </w:r>
          </w:p>
        </w:tc>
      </w:tr>
      <w:tr w:rsidR="002D4864" w:rsidRPr="00620F58" w14:paraId="4566566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9D3880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75</w:t>
            </w:r>
          </w:p>
        </w:tc>
        <w:tc>
          <w:tcPr>
            <w:tcW w:w="1845" w:type="dxa"/>
            <w:tcBorders>
              <w:top w:val="nil"/>
              <w:left w:val="nil"/>
              <w:bottom w:val="single" w:sz="4" w:space="0" w:color="auto"/>
              <w:right w:val="single" w:sz="4" w:space="0" w:color="auto"/>
            </w:tcBorders>
            <w:shd w:val="clear" w:color="000000" w:fill="FFFFFF"/>
            <w:noWrap/>
            <w:vAlign w:val="bottom"/>
            <w:hideMark/>
          </w:tcPr>
          <w:p w14:paraId="33170EA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699CB6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Nässuma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251DD54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637,50</w:t>
            </w:r>
          </w:p>
        </w:tc>
        <w:tc>
          <w:tcPr>
            <w:tcW w:w="1120" w:type="dxa"/>
            <w:tcBorders>
              <w:top w:val="nil"/>
              <w:left w:val="nil"/>
              <w:bottom w:val="single" w:sz="4" w:space="0" w:color="auto"/>
              <w:right w:val="single" w:sz="4" w:space="0" w:color="auto"/>
            </w:tcBorders>
            <w:shd w:val="clear" w:color="000000" w:fill="FFFFFF"/>
            <w:noWrap/>
            <w:vAlign w:val="bottom"/>
            <w:hideMark/>
          </w:tcPr>
          <w:p w14:paraId="048B3BD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1294,00</w:t>
            </w:r>
          </w:p>
        </w:tc>
        <w:tc>
          <w:tcPr>
            <w:tcW w:w="1140" w:type="dxa"/>
            <w:tcBorders>
              <w:top w:val="nil"/>
              <w:left w:val="nil"/>
              <w:bottom w:val="single" w:sz="4" w:space="0" w:color="auto"/>
              <w:right w:val="single" w:sz="4" w:space="0" w:color="auto"/>
            </w:tcBorders>
            <w:shd w:val="clear" w:color="000000" w:fill="FFFFFF"/>
            <w:noWrap/>
            <w:vAlign w:val="bottom"/>
            <w:hideMark/>
          </w:tcPr>
          <w:p w14:paraId="6C82778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853,70</w:t>
            </w:r>
          </w:p>
        </w:tc>
        <w:tc>
          <w:tcPr>
            <w:tcW w:w="1120" w:type="dxa"/>
            <w:tcBorders>
              <w:top w:val="nil"/>
              <w:left w:val="nil"/>
              <w:bottom w:val="single" w:sz="4" w:space="0" w:color="auto"/>
              <w:right w:val="single" w:sz="4" w:space="0" w:color="auto"/>
            </w:tcBorders>
            <w:shd w:val="clear" w:color="000000" w:fill="FFFFFF"/>
            <w:noWrap/>
            <w:vAlign w:val="bottom"/>
            <w:hideMark/>
          </w:tcPr>
          <w:p w14:paraId="64311FA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890,00</w:t>
            </w:r>
          </w:p>
        </w:tc>
        <w:tc>
          <w:tcPr>
            <w:tcW w:w="931" w:type="dxa"/>
            <w:tcBorders>
              <w:top w:val="nil"/>
              <w:left w:val="nil"/>
              <w:bottom w:val="single" w:sz="4" w:space="0" w:color="auto"/>
              <w:right w:val="single" w:sz="4" w:space="0" w:color="auto"/>
            </w:tcBorders>
            <w:shd w:val="clear" w:color="000000" w:fill="FFFFFF"/>
            <w:noWrap/>
            <w:vAlign w:val="bottom"/>
            <w:hideMark/>
          </w:tcPr>
          <w:p w14:paraId="4B985C2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2689,00</w:t>
            </w:r>
          </w:p>
        </w:tc>
        <w:tc>
          <w:tcPr>
            <w:tcW w:w="1219" w:type="dxa"/>
            <w:tcBorders>
              <w:top w:val="nil"/>
              <w:left w:val="nil"/>
              <w:bottom w:val="single" w:sz="4" w:space="0" w:color="auto"/>
              <w:right w:val="single" w:sz="4" w:space="0" w:color="auto"/>
            </w:tcBorders>
            <w:shd w:val="clear" w:color="000000" w:fill="FFFFFF"/>
            <w:noWrap/>
            <w:vAlign w:val="bottom"/>
            <w:hideMark/>
          </w:tcPr>
          <w:p w14:paraId="2F14222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2926,10</w:t>
            </w:r>
          </w:p>
        </w:tc>
        <w:tc>
          <w:tcPr>
            <w:tcW w:w="1075" w:type="dxa"/>
            <w:tcBorders>
              <w:top w:val="nil"/>
              <w:left w:val="nil"/>
              <w:bottom w:val="single" w:sz="4" w:space="0" w:color="auto"/>
              <w:right w:val="single" w:sz="4" w:space="0" w:color="auto"/>
            </w:tcBorders>
            <w:shd w:val="clear" w:color="000000" w:fill="FFFFFF"/>
            <w:noWrap/>
            <w:vAlign w:val="bottom"/>
            <w:hideMark/>
          </w:tcPr>
          <w:p w14:paraId="326E1D4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4579,00</w:t>
            </w:r>
          </w:p>
        </w:tc>
      </w:tr>
      <w:tr w:rsidR="002D4864" w:rsidRPr="00620F58" w14:paraId="35B35CE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20E9CC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76</w:t>
            </w:r>
          </w:p>
        </w:tc>
        <w:tc>
          <w:tcPr>
            <w:tcW w:w="1845" w:type="dxa"/>
            <w:tcBorders>
              <w:top w:val="nil"/>
              <w:left w:val="nil"/>
              <w:bottom w:val="single" w:sz="4" w:space="0" w:color="auto"/>
              <w:right w:val="single" w:sz="4" w:space="0" w:color="auto"/>
            </w:tcBorders>
            <w:shd w:val="clear" w:color="000000" w:fill="FFFFFF"/>
            <w:noWrap/>
            <w:vAlign w:val="bottom"/>
            <w:hideMark/>
          </w:tcPr>
          <w:p w14:paraId="05A1E1A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2E5994B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Ohessaare</w:t>
            </w:r>
            <w:proofErr w:type="spellEnd"/>
            <w:r w:rsidRPr="002D4864">
              <w:rPr>
                <w:rFonts w:ascii="Times New Roman" w:eastAsia="Times New Roman" w:hAnsi="Times New Roman" w:cs="Times New Roman"/>
                <w:color w:val="000000"/>
                <w:sz w:val="22"/>
                <w:szCs w:val="22"/>
              </w:rPr>
              <w:t xml:space="preserve"> </w:t>
            </w:r>
          </w:p>
        </w:tc>
        <w:tc>
          <w:tcPr>
            <w:tcW w:w="1075" w:type="dxa"/>
            <w:tcBorders>
              <w:top w:val="nil"/>
              <w:left w:val="nil"/>
              <w:bottom w:val="single" w:sz="4" w:space="0" w:color="auto"/>
              <w:right w:val="single" w:sz="4" w:space="0" w:color="auto"/>
            </w:tcBorders>
            <w:shd w:val="clear" w:color="000000" w:fill="FFFFFF"/>
            <w:noWrap/>
            <w:vAlign w:val="bottom"/>
            <w:hideMark/>
          </w:tcPr>
          <w:p w14:paraId="3DAAF5E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62A984A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1C533DC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60,10</w:t>
            </w:r>
          </w:p>
        </w:tc>
        <w:tc>
          <w:tcPr>
            <w:tcW w:w="1120" w:type="dxa"/>
            <w:tcBorders>
              <w:top w:val="nil"/>
              <w:left w:val="nil"/>
              <w:bottom w:val="single" w:sz="4" w:space="0" w:color="auto"/>
              <w:right w:val="single" w:sz="4" w:space="0" w:color="auto"/>
            </w:tcBorders>
            <w:shd w:val="clear" w:color="000000" w:fill="FFFFFF"/>
            <w:noWrap/>
            <w:vAlign w:val="bottom"/>
            <w:hideMark/>
          </w:tcPr>
          <w:p w14:paraId="4075FB3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22,60</w:t>
            </w:r>
          </w:p>
        </w:tc>
        <w:tc>
          <w:tcPr>
            <w:tcW w:w="931" w:type="dxa"/>
            <w:tcBorders>
              <w:top w:val="nil"/>
              <w:left w:val="nil"/>
              <w:bottom w:val="single" w:sz="4" w:space="0" w:color="auto"/>
              <w:right w:val="single" w:sz="4" w:space="0" w:color="auto"/>
            </w:tcBorders>
            <w:shd w:val="clear" w:color="000000" w:fill="FFFFFF"/>
            <w:noWrap/>
            <w:vAlign w:val="bottom"/>
            <w:hideMark/>
          </w:tcPr>
          <w:p w14:paraId="0932895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7,00</w:t>
            </w:r>
          </w:p>
        </w:tc>
        <w:tc>
          <w:tcPr>
            <w:tcW w:w="1219" w:type="dxa"/>
            <w:tcBorders>
              <w:top w:val="nil"/>
              <w:left w:val="nil"/>
              <w:bottom w:val="single" w:sz="4" w:space="0" w:color="auto"/>
              <w:right w:val="single" w:sz="4" w:space="0" w:color="auto"/>
            </w:tcBorders>
            <w:shd w:val="clear" w:color="000000" w:fill="FFFFFF"/>
            <w:noWrap/>
            <w:vAlign w:val="bottom"/>
            <w:hideMark/>
          </w:tcPr>
          <w:p w14:paraId="72CB1F0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46,60</w:t>
            </w:r>
          </w:p>
        </w:tc>
        <w:tc>
          <w:tcPr>
            <w:tcW w:w="1075" w:type="dxa"/>
            <w:tcBorders>
              <w:top w:val="nil"/>
              <w:left w:val="nil"/>
              <w:bottom w:val="single" w:sz="4" w:space="0" w:color="auto"/>
              <w:right w:val="single" w:sz="4" w:space="0" w:color="auto"/>
            </w:tcBorders>
            <w:shd w:val="clear" w:color="000000" w:fill="FFFFFF"/>
            <w:noWrap/>
            <w:vAlign w:val="bottom"/>
            <w:hideMark/>
          </w:tcPr>
          <w:p w14:paraId="75721C4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74,90</w:t>
            </w:r>
          </w:p>
        </w:tc>
      </w:tr>
      <w:tr w:rsidR="002D4864" w:rsidRPr="00620F58" w14:paraId="556794CB"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D00020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77</w:t>
            </w:r>
          </w:p>
        </w:tc>
        <w:tc>
          <w:tcPr>
            <w:tcW w:w="1845" w:type="dxa"/>
            <w:tcBorders>
              <w:top w:val="nil"/>
              <w:left w:val="nil"/>
              <w:bottom w:val="single" w:sz="4" w:space="0" w:color="auto"/>
              <w:right w:val="single" w:sz="4" w:space="0" w:color="auto"/>
            </w:tcBorders>
            <w:shd w:val="clear" w:color="000000" w:fill="FFFFFF"/>
            <w:noWrap/>
            <w:vAlign w:val="bottom"/>
            <w:hideMark/>
          </w:tcPr>
          <w:p w14:paraId="445AA6E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4C1B60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Onni</w:t>
            </w:r>
          </w:p>
        </w:tc>
        <w:tc>
          <w:tcPr>
            <w:tcW w:w="1075" w:type="dxa"/>
            <w:tcBorders>
              <w:top w:val="nil"/>
              <w:left w:val="nil"/>
              <w:bottom w:val="single" w:sz="4" w:space="0" w:color="auto"/>
              <w:right w:val="single" w:sz="4" w:space="0" w:color="auto"/>
            </w:tcBorders>
            <w:shd w:val="clear" w:color="000000" w:fill="FFFFFF"/>
            <w:noWrap/>
            <w:vAlign w:val="bottom"/>
            <w:hideMark/>
          </w:tcPr>
          <w:p w14:paraId="7670D04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1175,80</w:t>
            </w:r>
          </w:p>
        </w:tc>
        <w:tc>
          <w:tcPr>
            <w:tcW w:w="1120" w:type="dxa"/>
            <w:tcBorders>
              <w:top w:val="nil"/>
              <w:left w:val="nil"/>
              <w:bottom w:val="single" w:sz="4" w:space="0" w:color="auto"/>
              <w:right w:val="single" w:sz="4" w:space="0" w:color="auto"/>
            </w:tcBorders>
            <w:shd w:val="clear" w:color="000000" w:fill="FFFFFF"/>
            <w:noWrap/>
            <w:vAlign w:val="bottom"/>
            <w:hideMark/>
          </w:tcPr>
          <w:p w14:paraId="60F42F2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867,30</w:t>
            </w:r>
          </w:p>
        </w:tc>
        <w:tc>
          <w:tcPr>
            <w:tcW w:w="1140" w:type="dxa"/>
            <w:tcBorders>
              <w:top w:val="nil"/>
              <w:left w:val="nil"/>
              <w:bottom w:val="single" w:sz="4" w:space="0" w:color="auto"/>
              <w:right w:val="single" w:sz="4" w:space="0" w:color="auto"/>
            </w:tcBorders>
            <w:shd w:val="clear" w:color="000000" w:fill="FFFFFF"/>
            <w:noWrap/>
            <w:vAlign w:val="bottom"/>
            <w:hideMark/>
          </w:tcPr>
          <w:p w14:paraId="12C1DDE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715,20</w:t>
            </w:r>
          </w:p>
        </w:tc>
        <w:tc>
          <w:tcPr>
            <w:tcW w:w="1120" w:type="dxa"/>
            <w:tcBorders>
              <w:top w:val="nil"/>
              <w:left w:val="nil"/>
              <w:bottom w:val="single" w:sz="4" w:space="0" w:color="auto"/>
              <w:right w:val="single" w:sz="4" w:space="0" w:color="auto"/>
            </w:tcBorders>
            <w:shd w:val="clear" w:color="000000" w:fill="FFFFFF"/>
            <w:noWrap/>
            <w:vAlign w:val="bottom"/>
            <w:hideMark/>
          </w:tcPr>
          <w:p w14:paraId="326A047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547,50</w:t>
            </w:r>
          </w:p>
        </w:tc>
        <w:tc>
          <w:tcPr>
            <w:tcW w:w="931" w:type="dxa"/>
            <w:tcBorders>
              <w:top w:val="nil"/>
              <w:left w:val="nil"/>
              <w:bottom w:val="single" w:sz="4" w:space="0" w:color="auto"/>
              <w:right w:val="single" w:sz="4" w:space="0" w:color="auto"/>
            </w:tcBorders>
            <w:shd w:val="clear" w:color="000000" w:fill="FFFFFF"/>
            <w:noWrap/>
            <w:vAlign w:val="bottom"/>
            <w:hideMark/>
          </w:tcPr>
          <w:p w14:paraId="283A092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344,00</w:t>
            </w:r>
          </w:p>
        </w:tc>
        <w:tc>
          <w:tcPr>
            <w:tcW w:w="1219" w:type="dxa"/>
            <w:tcBorders>
              <w:top w:val="nil"/>
              <w:left w:val="nil"/>
              <w:bottom w:val="single" w:sz="4" w:space="0" w:color="auto"/>
              <w:right w:val="single" w:sz="4" w:space="0" w:color="auto"/>
            </w:tcBorders>
            <w:shd w:val="clear" w:color="000000" w:fill="FFFFFF"/>
            <w:noWrap/>
            <w:vAlign w:val="bottom"/>
            <w:hideMark/>
          </w:tcPr>
          <w:p w14:paraId="557DA7F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95,00</w:t>
            </w:r>
          </w:p>
        </w:tc>
        <w:tc>
          <w:tcPr>
            <w:tcW w:w="1075" w:type="dxa"/>
            <w:tcBorders>
              <w:top w:val="nil"/>
              <w:left w:val="nil"/>
              <w:bottom w:val="single" w:sz="4" w:space="0" w:color="auto"/>
              <w:right w:val="single" w:sz="4" w:space="0" w:color="auto"/>
            </w:tcBorders>
            <w:shd w:val="clear" w:color="000000" w:fill="FFFFFF"/>
            <w:noWrap/>
            <w:vAlign w:val="bottom"/>
            <w:hideMark/>
          </w:tcPr>
          <w:p w14:paraId="50A141D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69,00</w:t>
            </w:r>
          </w:p>
        </w:tc>
      </w:tr>
      <w:tr w:rsidR="002D4864" w:rsidRPr="00620F58" w14:paraId="0F23963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1C418B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78</w:t>
            </w:r>
          </w:p>
        </w:tc>
        <w:tc>
          <w:tcPr>
            <w:tcW w:w="1845" w:type="dxa"/>
            <w:tcBorders>
              <w:top w:val="nil"/>
              <w:left w:val="nil"/>
              <w:bottom w:val="single" w:sz="4" w:space="0" w:color="auto"/>
              <w:right w:val="single" w:sz="4" w:space="0" w:color="auto"/>
            </w:tcBorders>
            <w:shd w:val="clear" w:color="000000" w:fill="FFFFFF"/>
            <w:noWrap/>
            <w:vAlign w:val="bottom"/>
            <w:hideMark/>
          </w:tcPr>
          <w:p w14:paraId="5AF5370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0C4D5F9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Orissaare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0F57FB7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11866,70</w:t>
            </w:r>
          </w:p>
        </w:tc>
        <w:tc>
          <w:tcPr>
            <w:tcW w:w="1120" w:type="dxa"/>
            <w:tcBorders>
              <w:top w:val="nil"/>
              <w:left w:val="nil"/>
              <w:bottom w:val="single" w:sz="4" w:space="0" w:color="auto"/>
              <w:right w:val="single" w:sz="4" w:space="0" w:color="auto"/>
            </w:tcBorders>
            <w:shd w:val="clear" w:color="000000" w:fill="FFFFFF"/>
            <w:noWrap/>
            <w:vAlign w:val="bottom"/>
            <w:hideMark/>
          </w:tcPr>
          <w:p w14:paraId="3D57E4F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15640,60</w:t>
            </w:r>
          </w:p>
        </w:tc>
        <w:tc>
          <w:tcPr>
            <w:tcW w:w="1140" w:type="dxa"/>
            <w:tcBorders>
              <w:top w:val="nil"/>
              <w:left w:val="nil"/>
              <w:bottom w:val="single" w:sz="4" w:space="0" w:color="auto"/>
              <w:right w:val="single" w:sz="4" w:space="0" w:color="auto"/>
            </w:tcBorders>
            <w:shd w:val="clear" w:color="000000" w:fill="FFFFFF"/>
            <w:noWrap/>
            <w:vAlign w:val="bottom"/>
            <w:hideMark/>
          </w:tcPr>
          <w:p w14:paraId="6FF8C46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6955,00</w:t>
            </w:r>
          </w:p>
        </w:tc>
        <w:tc>
          <w:tcPr>
            <w:tcW w:w="1120" w:type="dxa"/>
            <w:tcBorders>
              <w:top w:val="nil"/>
              <w:left w:val="nil"/>
              <w:bottom w:val="single" w:sz="4" w:space="0" w:color="auto"/>
              <w:right w:val="single" w:sz="4" w:space="0" w:color="auto"/>
            </w:tcBorders>
            <w:shd w:val="clear" w:color="000000" w:fill="FFFFFF"/>
            <w:noWrap/>
            <w:vAlign w:val="bottom"/>
            <w:hideMark/>
          </w:tcPr>
          <w:p w14:paraId="3593A55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6159,20</w:t>
            </w:r>
          </w:p>
        </w:tc>
        <w:tc>
          <w:tcPr>
            <w:tcW w:w="931" w:type="dxa"/>
            <w:tcBorders>
              <w:top w:val="nil"/>
              <w:left w:val="nil"/>
              <w:bottom w:val="single" w:sz="4" w:space="0" w:color="auto"/>
              <w:right w:val="single" w:sz="4" w:space="0" w:color="auto"/>
            </w:tcBorders>
            <w:shd w:val="clear" w:color="000000" w:fill="FFFFFF"/>
            <w:noWrap/>
            <w:vAlign w:val="bottom"/>
            <w:hideMark/>
          </w:tcPr>
          <w:p w14:paraId="7C3AF99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4084,00</w:t>
            </w:r>
          </w:p>
        </w:tc>
        <w:tc>
          <w:tcPr>
            <w:tcW w:w="1219" w:type="dxa"/>
            <w:tcBorders>
              <w:top w:val="nil"/>
              <w:left w:val="nil"/>
              <w:bottom w:val="single" w:sz="4" w:space="0" w:color="auto"/>
              <w:right w:val="single" w:sz="4" w:space="0" w:color="auto"/>
            </w:tcBorders>
            <w:shd w:val="clear" w:color="000000" w:fill="FFFFFF"/>
            <w:noWrap/>
            <w:vAlign w:val="bottom"/>
            <w:hideMark/>
          </w:tcPr>
          <w:p w14:paraId="7D86AAF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1423,11</w:t>
            </w:r>
          </w:p>
        </w:tc>
        <w:tc>
          <w:tcPr>
            <w:tcW w:w="1075" w:type="dxa"/>
            <w:tcBorders>
              <w:top w:val="nil"/>
              <w:left w:val="nil"/>
              <w:bottom w:val="single" w:sz="4" w:space="0" w:color="auto"/>
              <w:right w:val="single" w:sz="4" w:space="0" w:color="auto"/>
            </w:tcBorders>
            <w:shd w:val="clear" w:color="000000" w:fill="FFFFFF"/>
            <w:noWrap/>
            <w:vAlign w:val="bottom"/>
            <w:hideMark/>
          </w:tcPr>
          <w:p w14:paraId="3258AE4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628,30</w:t>
            </w:r>
          </w:p>
        </w:tc>
      </w:tr>
      <w:tr w:rsidR="002D4864" w:rsidRPr="00620F58" w14:paraId="03823F3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346987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79</w:t>
            </w:r>
          </w:p>
        </w:tc>
        <w:tc>
          <w:tcPr>
            <w:tcW w:w="1845" w:type="dxa"/>
            <w:tcBorders>
              <w:top w:val="nil"/>
              <w:left w:val="nil"/>
              <w:bottom w:val="single" w:sz="4" w:space="0" w:color="auto"/>
              <w:right w:val="single" w:sz="4" w:space="0" w:color="auto"/>
            </w:tcBorders>
            <w:shd w:val="clear" w:color="000000" w:fill="FFFFFF"/>
            <w:noWrap/>
            <w:vAlign w:val="bottom"/>
            <w:hideMark/>
          </w:tcPr>
          <w:p w14:paraId="2653067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A2AB2E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Paatsaranna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331F2FC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976,40</w:t>
            </w:r>
          </w:p>
        </w:tc>
        <w:tc>
          <w:tcPr>
            <w:tcW w:w="1120" w:type="dxa"/>
            <w:tcBorders>
              <w:top w:val="nil"/>
              <w:left w:val="nil"/>
              <w:bottom w:val="single" w:sz="4" w:space="0" w:color="auto"/>
              <w:right w:val="single" w:sz="4" w:space="0" w:color="auto"/>
            </w:tcBorders>
            <w:shd w:val="clear" w:color="000000" w:fill="FFFFFF"/>
            <w:noWrap/>
            <w:vAlign w:val="bottom"/>
            <w:hideMark/>
          </w:tcPr>
          <w:p w14:paraId="4E798F0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2872062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c>
          <w:tcPr>
            <w:tcW w:w="1120" w:type="dxa"/>
            <w:tcBorders>
              <w:top w:val="nil"/>
              <w:left w:val="nil"/>
              <w:bottom w:val="single" w:sz="4" w:space="0" w:color="auto"/>
              <w:right w:val="single" w:sz="4" w:space="0" w:color="auto"/>
            </w:tcBorders>
            <w:shd w:val="clear" w:color="000000" w:fill="FFFFFF"/>
            <w:noWrap/>
            <w:vAlign w:val="bottom"/>
            <w:hideMark/>
          </w:tcPr>
          <w:p w14:paraId="39628F2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000000" w:fill="FFFFFF"/>
            <w:noWrap/>
            <w:vAlign w:val="bottom"/>
            <w:hideMark/>
          </w:tcPr>
          <w:p w14:paraId="151AE9F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49,00</w:t>
            </w:r>
          </w:p>
        </w:tc>
        <w:tc>
          <w:tcPr>
            <w:tcW w:w="1219" w:type="dxa"/>
            <w:tcBorders>
              <w:top w:val="nil"/>
              <w:left w:val="nil"/>
              <w:bottom w:val="single" w:sz="4" w:space="0" w:color="auto"/>
              <w:right w:val="single" w:sz="4" w:space="0" w:color="auto"/>
            </w:tcBorders>
            <w:shd w:val="clear" w:color="000000" w:fill="FFFFFF"/>
            <w:noWrap/>
            <w:vAlign w:val="bottom"/>
            <w:hideMark/>
          </w:tcPr>
          <w:p w14:paraId="448D986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211,90</w:t>
            </w:r>
          </w:p>
        </w:tc>
        <w:tc>
          <w:tcPr>
            <w:tcW w:w="1075" w:type="dxa"/>
            <w:tcBorders>
              <w:top w:val="nil"/>
              <w:left w:val="nil"/>
              <w:bottom w:val="single" w:sz="4" w:space="0" w:color="auto"/>
              <w:right w:val="single" w:sz="4" w:space="0" w:color="auto"/>
            </w:tcBorders>
            <w:shd w:val="clear" w:color="000000" w:fill="FFFFFF"/>
            <w:noWrap/>
            <w:vAlign w:val="bottom"/>
            <w:hideMark/>
          </w:tcPr>
          <w:p w14:paraId="071D20D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28,80</w:t>
            </w:r>
          </w:p>
        </w:tc>
      </w:tr>
      <w:tr w:rsidR="002D4864" w:rsidRPr="00620F58" w14:paraId="7B56B4A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6BECEC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80</w:t>
            </w:r>
          </w:p>
        </w:tc>
        <w:tc>
          <w:tcPr>
            <w:tcW w:w="1845" w:type="dxa"/>
            <w:tcBorders>
              <w:top w:val="nil"/>
              <w:left w:val="nil"/>
              <w:bottom w:val="single" w:sz="4" w:space="0" w:color="auto"/>
              <w:right w:val="single" w:sz="4" w:space="0" w:color="auto"/>
            </w:tcBorders>
            <w:shd w:val="clear" w:color="000000" w:fill="FFFFFF"/>
            <w:noWrap/>
            <w:vAlign w:val="bottom"/>
            <w:hideMark/>
          </w:tcPr>
          <w:p w14:paraId="5110A1C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061B538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Pae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6160C5D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838,00</w:t>
            </w:r>
          </w:p>
        </w:tc>
        <w:tc>
          <w:tcPr>
            <w:tcW w:w="1120" w:type="dxa"/>
            <w:tcBorders>
              <w:top w:val="nil"/>
              <w:left w:val="nil"/>
              <w:bottom w:val="single" w:sz="4" w:space="0" w:color="auto"/>
              <w:right w:val="single" w:sz="4" w:space="0" w:color="auto"/>
            </w:tcBorders>
            <w:shd w:val="clear" w:color="000000" w:fill="FFFFFF"/>
            <w:noWrap/>
            <w:vAlign w:val="bottom"/>
            <w:hideMark/>
          </w:tcPr>
          <w:p w14:paraId="589210A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2107,00</w:t>
            </w:r>
          </w:p>
        </w:tc>
        <w:tc>
          <w:tcPr>
            <w:tcW w:w="1140" w:type="dxa"/>
            <w:tcBorders>
              <w:top w:val="nil"/>
              <w:left w:val="nil"/>
              <w:bottom w:val="single" w:sz="4" w:space="0" w:color="auto"/>
              <w:right w:val="single" w:sz="4" w:space="0" w:color="auto"/>
            </w:tcBorders>
            <w:shd w:val="clear" w:color="000000" w:fill="FFFFFF"/>
            <w:noWrap/>
            <w:vAlign w:val="bottom"/>
            <w:hideMark/>
          </w:tcPr>
          <w:p w14:paraId="7696EC0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1602,50</w:t>
            </w:r>
          </w:p>
        </w:tc>
        <w:tc>
          <w:tcPr>
            <w:tcW w:w="1120" w:type="dxa"/>
            <w:tcBorders>
              <w:top w:val="nil"/>
              <w:left w:val="nil"/>
              <w:bottom w:val="single" w:sz="4" w:space="0" w:color="auto"/>
              <w:right w:val="single" w:sz="4" w:space="0" w:color="auto"/>
            </w:tcBorders>
            <w:shd w:val="clear" w:color="000000" w:fill="FFFFFF"/>
            <w:noWrap/>
            <w:vAlign w:val="bottom"/>
            <w:hideMark/>
          </w:tcPr>
          <w:p w14:paraId="16E9BC4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1385,50</w:t>
            </w:r>
          </w:p>
        </w:tc>
        <w:tc>
          <w:tcPr>
            <w:tcW w:w="931" w:type="dxa"/>
            <w:tcBorders>
              <w:top w:val="nil"/>
              <w:left w:val="nil"/>
              <w:bottom w:val="single" w:sz="4" w:space="0" w:color="auto"/>
              <w:right w:val="single" w:sz="4" w:space="0" w:color="auto"/>
            </w:tcBorders>
            <w:shd w:val="clear" w:color="000000" w:fill="FFFFFF"/>
            <w:noWrap/>
            <w:vAlign w:val="bottom"/>
            <w:hideMark/>
          </w:tcPr>
          <w:p w14:paraId="1FE9EE9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662,00</w:t>
            </w:r>
          </w:p>
        </w:tc>
        <w:tc>
          <w:tcPr>
            <w:tcW w:w="1219" w:type="dxa"/>
            <w:tcBorders>
              <w:top w:val="nil"/>
              <w:left w:val="nil"/>
              <w:bottom w:val="single" w:sz="4" w:space="0" w:color="auto"/>
              <w:right w:val="single" w:sz="4" w:space="0" w:color="auto"/>
            </w:tcBorders>
            <w:shd w:val="clear" w:color="000000" w:fill="FFFFFF"/>
            <w:noWrap/>
            <w:vAlign w:val="bottom"/>
            <w:hideMark/>
          </w:tcPr>
          <w:p w14:paraId="6C7363D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196,00</w:t>
            </w:r>
          </w:p>
        </w:tc>
        <w:tc>
          <w:tcPr>
            <w:tcW w:w="1075" w:type="dxa"/>
            <w:tcBorders>
              <w:top w:val="nil"/>
              <w:left w:val="nil"/>
              <w:bottom w:val="single" w:sz="4" w:space="0" w:color="auto"/>
              <w:right w:val="single" w:sz="4" w:space="0" w:color="auto"/>
            </w:tcBorders>
            <w:shd w:val="clear" w:color="000000" w:fill="FFFFFF"/>
            <w:noWrap/>
            <w:vAlign w:val="bottom"/>
            <w:hideMark/>
          </w:tcPr>
          <w:p w14:paraId="21CAC79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778,50</w:t>
            </w:r>
          </w:p>
        </w:tc>
      </w:tr>
      <w:tr w:rsidR="002D4864" w:rsidRPr="00620F58" w14:paraId="221694E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85D669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81</w:t>
            </w:r>
          </w:p>
        </w:tc>
        <w:tc>
          <w:tcPr>
            <w:tcW w:w="1845" w:type="dxa"/>
            <w:tcBorders>
              <w:top w:val="nil"/>
              <w:left w:val="nil"/>
              <w:bottom w:val="single" w:sz="4" w:space="0" w:color="auto"/>
              <w:right w:val="single" w:sz="4" w:space="0" w:color="auto"/>
            </w:tcBorders>
            <w:shd w:val="clear" w:color="000000" w:fill="FFFFFF"/>
            <w:noWrap/>
            <w:vAlign w:val="bottom"/>
            <w:hideMark/>
          </w:tcPr>
          <w:p w14:paraId="4235E63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28CD44F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Papissaare</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65DA822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5321,00</w:t>
            </w:r>
          </w:p>
        </w:tc>
        <w:tc>
          <w:tcPr>
            <w:tcW w:w="1120" w:type="dxa"/>
            <w:tcBorders>
              <w:top w:val="nil"/>
              <w:left w:val="nil"/>
              <w:bottom w:val="single" w:sz="4" w:space="0" w:color="auto"/>
              <w:right w:val="single" w:sz="4" w:space="0" w:color="auto"/>
            </w:tcBorders>
            <w:shd w:val="clear" w:color="000000" w:fill="FFFFFF"/>
            <w:noWrap/>
            <w:vAlign w:val="bottom"/>
            <w:hideMark/>
          </w:tcPr>
          <w:p w14:paraId="0AC0F42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5164,00</w:t>
            </w:r>
          </w:p>
        </w:tc>
        <w:tc>
          <w:tcPr>
            <w:tcW w:w="1140" w:type="dxa"/>
            <w:tcBorders>
              <w:top w:val="nil"/>
              <w:left w:val="nil"/>
              <w:bottom w:val="single" w:sz="4" w:space="0" w:color="auto"/>
              <w:right w:val="single" w:sz="4" w:space="0" w:color="auto"/>
            </w:tcBorders>
            <w:shd w:val="clear" w:color="000000" w:fill="FFFFFF"/>
            <w:noWrap/>
            <w:vAlign w:val="bottom"/>
            <w:hideMark/>
          </w:tcPr>
          <w:p w14:paraId="2762728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3150,00</w:t>
            </w:r>
          </w:p>
        </w:tc>
        <w:tc>
          <w:tcPr>
            <w:tcW w:w="1120" w:type="dxa"/>
            <w:tcBorders>
              <w:top w:val="nil"/>
              <w:left w:val="nil"/>
              <w:bottom w:val="single" w:sz="4" w:space="0" w:color="auto"/>
              <w:right w:val="single" w:sz="4" w:space="0" w:color="auto"/>
            </w:tcBorders>
            <w:shd w:val="clear" w:color="000000" w:fill="FFFFFF"/>
            <w:noWrap/>
            <w:vAlign w:val="bottom"/>
            <w:hideMark/>
          </w:tcPr>
          <w:p w14:paraId="06D0650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2746,50</w:t>
            </w:r>
          </w:p>
        </w:tc>
        <w:tc>
          <w:tcPr>
            <w:tcW w:w="931" w:type="dxa"/>
            <w:tcBorders>
              <w:top w:val="nil"/>
              <w:left w:val="nil"/>
              <w:bottom w:val="single" w:sz="4" w:space="0" w:color="auto"/>
              <w:right w:val="single" w:sz="4" w:space="0" w:color="auto"/>
            </w:tcBorders>
            <w:shd w:val="clear" w:color="000000" w:fill="FFFFFF"/>
            <w:noWrap/>
            <w:vAlign w:val="bottom"/>
            <w:hideMark/>
          </w:tcPr>
          <w:p w14:paraId="03C0C26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993,00</w:t>
            </w:r>
          </w:p>
        </w:tc>
        <w:tc>
          <w:tcPr>
            <w:tcW w:w="1219" w:type="dxa"/>
            <w:tcBorders>
              <w:top w:val="nil"/>
              <w:left w:val="nil"/>
              <w:bottom w:val="single" w:sz="4" w:space="0" w:color="auto"/>
              <w:right w:val="single" w:sz="4" w:space="0" w:color="auto"/>
            </w:tcBorders>
            <w:shd w:val="clear" w:color="000000" w:fill="FFFFFF"/>
            <w:noWrap/>
            <w:vAlign w:val="bottom"/>
            <w:hideMark/>
          </w:tcPr>
          <w:p w14:paraId="14EE520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829,00</w:t>
            </w:r>
          </w:p>
        </w:tc>
        <w:tc>
          <w:tcPr>
            <w:tcW w:w="1075" w:type="dxa"/>
            <w:tcBorders>
              <w:top w:val="nil"/>
              <w:left w:val="nil"/>
              <w:bottom w:val="single" w:sz="4" w:space="0" w:color="auto"/>
              <w:right w:val="single" w:sz="4" w:space="0" w:color="auto"/>
            </w:tcBorders>
            <w:shd w:val="clear" w:color="000000" w:fill="FFFFFF"/>
            <w:noWrap/>
            <w:vAlign w:val="bottom"/>
            <w:hideMark/>
          </w:tcPr>
          <w:p w14:paraId="15CE301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2624,00</w:t>
            </w:r>
          </w:p>
        </w:tc>
      </w:tr>
      <w:tr w:rsidR="002D4864" w:rsidRPr="00620F58" w14:paraId="5BF38539"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75B398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82</w:t>
            </w:r>
          </w:p>
        </w:tc>
        <w:tc>
          <w:tcPr>
            <w:tcW w:w="1845" w:type="dxa"/>
            <w:tcBorders>
              <w:top w:val="nil"/>
              <w:left w:val="nil"/>
              <w:bottom w:val="single" w:sz="4" w:space="0" w:color="auto"/>
              <w:right w:val="single" w:sz="4" w:space="0" w:color="auto"/>
            </w:tcBorders>
            <w:shd w:val="clear" w:color="000000" w:fill="FFFFFF"/>
            <w:noWrap/>
            <w:vAlign w:val="bottom"/>
            <w:hideMark/>
          </w:tcPr>
          <w:p w14:paraId="61BA170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B12497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Pihla- Panga</w:t>
            </w:r>
          </w:p>
        </w:tc>
        <w:tc>
          <w:tcPr>
            <w:tcW w:w="1075" w:type="dxa"/>
            <w:tcBorders>
              <w:top w:val="nil"/>
              <w:left w:val="nil"/>
              <w:bottom w:val="single" w:sz="4" w:space="0" w:color="auto"/>
              <w:right w:val="single" w:sz="4" w:space="0" w:color="auto"/>
            </w:tcBorders>
            <w:shd w:val="clear" w:color="000000" w:fill="FFFFFF"/>
            <w:noWrap/>
            <w:vAlign w:val="bottom"/>
            <w:hideMark/>
          </w:tcPr>
          <w:p w14:paraId="4799904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282,70</w:t>
            </w:r>
          </w:p>
        </w:tc>
        <w:tc>
          <w:tcPr>
            <w:tcW w:w="1120" w:type="dxa"/>
            <w:tcBorders>
              <w:top w:val="nil"/>
              <w:left w:val="nil"/>
              <w:bottom w:val="single" w:sz="4" w:space="0" w:color="auto"/>
              <w:right w:val="single" w:sz="4" w:space="0" w:color="auto"/>
            </w:tcBorders>
            <w:shd w:val="clear" w:color="000000" w:fill="FFFFFF"/>
            <w:noWrap/>
            <w:vAlign w:val="bottom"/>
            <w:hideMark/>
          </w:tcPr>
          <w:p w14:paraId="6941E90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306,30</w:t>
            </w:r>
          </w:p>
        </w:tc>
        <w:tc>
          <w:tcPr>
            <w:tcW w:w="1140" w:type="dxa"/>
            <w:tcBorders>
              <w:top w:val="nil"/>
              <w:left w:val="nil"/>
              <w:bottom w:val="single" w:sz="4" w:space="0" w:color="auto"/>
              <w:right w:val="single" w:sz="4" w:space="0" w:color="auto"/>
            </w:tcBorders>
            <w:shd w:val="clear" w:color="000000" w:fill="FFFFFF"/>
            <w:noWrap/>
            <w:vAlign w:val="bottom"/>
            <w:hideMark/>
          </w:tcPr>
          <w:p w14:paraId="2094E86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387,00</w:t>
            </w:r>
          </w:p>
        </w:tc>
        <w:tc>
          <w:tcPr>
            <w:tcW w:w="1120" w:type="dxa"/>
            <w:tcBorders>
              <w:top w:val="nil"/>
              <w:left w:val="nil"/>
              <w:bottom w:val="single" w:sz="4" w:space="0" w:color="auto"/>
              <w:right w:val="single" w:sz="4" w:space="0" w:color="auto"/>
            </w:tcBorders>
            <w:shd w:val="clear" w:color="000000" w:fill="FFFFFF"/>
            <w:noWrap/>
            <w:vAlign w:val="bottom"/>
            <w:hideMark/>
          </w:tcPr>
          <w:p w14:paraId="0BA4F99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846,00</w:t>
            </w:r>
          </w:p>
        </w:tc>
        <w:tc>
          <w:tcPr>
            <w:tcW w:w="931" w:type="dxa"/>
            <w:tcBorders>
              <w:top w:val="nil"/>
              <w:left w:val="nil"/>
              <w:bottom w:val="single" w:sz="4" w:space="0" w:color="auto"/>
              <w:right w:val="single" w:sz="4" w:space="0" w:color="auto"/>
            </w:tcBorders>
            <w:shd w:val="clear" w:color="000000" w:fill="FFFFFF"/>
            <w:noWrap/>
            <w:vAlign w:val="bottom"/>
            <w:hideMark/>
          </w:tcPr>
          <w:p w14:paraId="5306AEA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77,00</w:t>
            </w:r>
          </w:p>
        </w:tc>
        <w:tc>
          <w:tcPr>
            <w:tcW w:w="1219" w:type="dxa"/>
            <w:tcBorders>
              <w:top w:val="nil"/>
              <w:left w:val="nil"/>
              <w:bottom w:val="single" w:sz="4" w:space="0" w:color="auto"/>
              <w:right w:val="single" w:sz="4" w:space="0" w:color="auto"/>
            </w:tcBorders>
            <w:shd w:val="clear" w:color="000000" w:fill="FFFFFF"/>
            <w:noWrap/>
            <w:vAlign w:val="bottom"/>
            <w:hideMark/>
          </w:tcPr>
          <w:p w14:paraId="42661B7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18,00</w:t>
            </w:r>
          </w:p>
        </w:tc>
        <w:tc>
          <w:tcPr>
            <w:tcW w:w="1075" w:type="dxa"/>
            <w:tcBorders>
              <w:top w:val="nil"/>
              <w:left w:val="nil"/>
              <w:bottom w:val="single" w:sz="4" w:space="0" w:color="auto"/>
              <w:right w:val="single" w:sz="4" w:space="0" w:color="auto"/>
            </w:tcBorders>
            <w:shd w:val="clear" w:color="000000" w:fill="FFFFFF"/>
            <w:noWrap/>
            <w:vAlign w:val="bottom"/>
            <w:hideMark/>
          </w:tcPr>
          <w:p w14:paraId="6239BC2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35,00</w:t>
            </w:r>
          </w:p>
        </w:tc>
      </w:tr>
      <w:tr w:rsidR="002D4864" w:rsidRPr="00620F58" w14:paraId="5790434C"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84AB4E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83</w:t>
            </w:r>
          </w:p>
        </w:tc>
        <w:tc>
          <w:tcPr>
            <w:tcW w:w="1845" w:type="dxa"/>
            <w:tcBorders>
              <w:top w:val="nil"/>
              <w:left w:val="nil"/>
              <w:bottom w:val="single" w:sz="4" w:space="0" w:color="auto"/>
              <w:right w:val="single" w:sz="4" w:space="0" w:color="auto"/>
            </w:tcBorders>
            <w:shd w:val="clear" w:color="000000" w:fill="FFFFFF"/>
            <w:noWrap/>
            <w:vAlign w:val="bottom"/>
            <w:hideMark/>
          </w:tcPr>
          <w:p w14:paraId="5509AEB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F7FBAC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Poka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122D558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252,50</w:t>
            </w:r>
          </w:p>
        </w:tc>
        <w:tc>
          <w:tcPr>
            <w:tcW w:w="1120" w:type="dxa"/>
            <w:tcBorders>
              <w:top w:val="nil"/>
              <w:left w:val="nil"/>
              <w:bottom w:val="single" w:sz="4" w:space="0" w:color="auto"/>
              <w:right w:val="single" w:sz="4" w:space="0" w:color="auto"/>
            </w:tcBorders>
            <w:shd w:val="clear" w:color="000000" w:fill="FFFFFF"/>
            <w:noWrap/>
            <w:vAlign w:val="bottom"/>
            <w:hideMark/>
          </w:tcPr>
          <w:p w14:paraId="703647B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309,90</w:t>
            </w:r>
          </w:p>
        </w:tc>
        <w:tc>
          <w:tcPr>
            <w:tcW w:w="1140" w:type="dxa"/>
            <w:tcBorders>
              <w:top w:val="nil"/>
              <w:left w:val="nil"/>
              <w:bottom w:val="single" w:sz="4" w:space="0" w:color="auto"/>
              <w:right w:val="single" w:sz="4" w:space="0" w:color="auto"/>
            </w:tcBorders>
            <w:shd w:val="clear" w:color="000000" w:fill="FFFFFF"/>
            <w:noWrap/>
            <w:vAlign w:val="bottom"/>
            <w:hideMark/>
          </w:tcPr>
          <w:p w14:paraId="6D6B5D5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12,60</w:t>
            </w:r>
          </w:p>
        </w:tc>
        <w:tc>
          <w:tcPr>
            <w:tcW w:w="1120" w:type="dxa"/>
            <w:tcBorders>
              <w:top w:val="nil"/>
              <w:left w:val="nil"/>
              <w:bottom w:val="single" w:sz="4" w:space="0" w:color="auto"/>
              <w:right w:val="single" w:sz="4" w:space="0" w:color="auto"/>
            </w:tcBorders>
            <w:shd w:val="clear" w:color="000000" w:fill="FFFFFF"/>
            <w:noWrap/>
            <w:vAlign w:val="bottom"/>
            <w:hideMark/>
          </w:tcPr>
          <w:p w14:paraId="4AE82B9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206,00</w:t>
            </w:r>
          </w:p>
        </w:tc>
        <w:tc>
          <w:tcPr>
            <w:tcW w:w="931" w:type="dxa"/>
            <w:tcBorders>
              <w:top w:val="nil"/>
              <w:left w:val="nil"/>
              <w:bottom w:val="single" w:sz="4" w:space="0" w:color="auto"/>
              <w:right w:val="single" w:sz="4" w:space="0" w:color="auto"/>
            </w:tcBorders>
            <w:shd w:val="clear" w:color="000000" w:fill="FFFFFF"/>
            <w:noWrap/>
            <w:vAlign w:val="bottom"/>
            <w:hideMark/>
          </w:tcPr>
          <w:p w14:paraId="47DC419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13,00</w:t>
            </w:r>
          </w:p>
        </w:tc>
        <w:tc>
          <w:tcPr>
            <w:tcW w:w="1219" w:type="dxa"/>
            <w:tcBorders>
              <w:top w:val="nil"/>
              <w:left w:val="nil"/>
              <w:bottom w:val="single" w:sz="4" w:space="0" w:color="auto"/>
              <w:right w:val="single" w:sz="4" w:space="0" w:color="auto"/>
            </w:tcBorders>
            <w:shd w:val="clear" w:color="000000" w:fill="FFFFFF"/>
            <w:noWrap/>
            <w:vAlign w:val="bottom"/>
            <w:hideMark/>
          </w:tcPr>
          <w:p w14:paraId="67CD884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000000" w:fill="FFFFFF"/>
            <w:noWrap/>
            <w:vAlign w:val="bottom"/>
            <w:hideMark/>
          </w:tcPr>
          <w:p w14:paraId="52F336F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r>
      <w:tr w:rsidR="002D4864" w:rsidRPr="00620F58" w14:paraId="02561830"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5472A2D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84</w:t>
            </w:r>
          </w:p>
        </w:tc>
        <w:tc>
          <w:tcPr>
            <w:tcW w:w="1845" w:type="dxa"/>
            <w:tcBorders>
              <w:top w:val="nil"/>
              <w:left w:val="nil"/>
              <w:bottom w:val="single" w:sz="4" w:space="0" w:color="auto"/>
              <w:right w:val="single" w:sz="4" w:space="0" w:color="auto"/>
            </w:tcBorders>
            <w:shd w:val="clear" w:color="F8CBAD" w:fill="FFFFFF"/>
            <w:noWrap/>
            <w:vAlign w:val="bottom"/>
            <w:hideMark/>
          </w:tcPr>
          <w:p w14:paraId="4CDDB89E"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71006D2C"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Põhja- Niidi sadam</w:t>
            </w:r>
          </w:p>
        </w:tc>
        <w:tc>
          <w:tcPr>
            <w:tcW w:w="1075" w:type="dxa"/>
            <w:tcBorders>
              <w:top w:val="nil"/>
              <w:left w:val="nil"/>
              <w:bottom w:val="single" w:sz="4" w:space="0" w:color="auto"/>
              <w:right w:val="single" w:sz="4" w:space="0" w:color="auto"/>
            </w:tcBorders>
            <w:shd w:val="clear" w:color="F8CBAD" w:fill="FFFFFF"/>
            <w:noWrap/>
            <w:vAlign w:val="bottom"/>
            <w:hideMark/>
          </w:tcPr>
          <w:p w14:paraId="386920C7"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341B4C6F"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1650058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16F0152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31,00</w:t>
            </w:r>
          </w:p>
        </w:tc>
        <w:tc>
          <w:tcPr>
            <w:tcW w:w="931" w:type="dxa"/>
            <w:tcBorders>
              <w:top w:val="nil"/>
              <w:left w:val="nil"/>
              <w:bottom w:val="single" w:sz="4" w:space="0" w:color="auto"/>
              <w:right w:val="single" w:sz="4" w:space="0" w:color="auto"/>
            </w:tcBorders>
            <w:shd w:val="clear" w:color="F8CBAD" w:fill="FFFFFF"/>
            <w:noWrap/>
            <w:vAlign w:val="bottom"/>
            <w:hideMark/>
          </w:tcPr>
          <w:p w14:paraId="13678914"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426,00</w:t>
            </w:r>
          </w:p>
        </w:tc>
        <w:tc>
          <w:tcPr>
            <w:tcW w:w="1219" w:type="dxa"/>
            <w:tcBorders>
              <w:top w:val="nil"/>
              <w:left w:val="nil"/>
              <w:bottom w:val="single" w:sz="4" w:space="0" w:color="auto"/>
              <w:right w:val="single" w:sz="4" w:space="0" w:color="auto"/>
            </w:tcBorders>
            <w:shd w:val="clear" w:color="F8CBAD" w:fill="FFFFFF"/>
            <w:noWrap/>
            <w:vAlign w:val="bottom"/>
            <w:hideMark/>
          </w:tcPr>
          <w:p w14:paraId="060281E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91,00</w:t>
            </w:r>
          </w:p>
        </w:tc>
        <w:tc>
          <w:tcPr>
            <w:tcW w:w="1075" w:type="dxa"/>
            <w:tcBorders>
              <w:top w:val="nil"/>
              <w:left w:val="nil"/>
              <w:bottom w:val="single" w:sz="4" w:space="0" w:color="auto"/>
              <w:right w:val="single" w:sz="4" w:space="0" w:color="auto"/>
            </w:tcBorders>
            <w:shd w:val="clear" w:color="F8CBAD" w:fill="FFFFFF"/>
            <w:noWrap/>
            <w:vAlign w:val="bottom"/>
            <w:hideMark/>
          </w:tcPr>
          <w:p w14:paraId="293F741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48C2DDD3"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3BEA9DE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85</w:t>
            </w:r>
          </w:p>
        </w:tc>
        <w:tc>
          <w:tcPr>
            <w:tcW w:w="1845" w:type="dxa"/>
            <w:tcBorders>
              <w:top w:val="nil"/>
              <w:left w:val="nil"/>
              <w:bottom w:val="single" w:sz="4" w:space="0" w:color="auto"/>
              <w:right w:val="single" w:sz="4" w:space="0" w:color="auto"/>
            </w:tcBorders>
            <w:shd w:val="clear" w:color="F8CBAD" w:fill="FFFFFF"/>
            <w:noWrap/>
            <w:vAlign w:val="bottom"/>
            <w:hideMark/>
          </w:tcPr>
          <w:p w14:paraId="32B7ED0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550BFA2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Põripõllu</w:t>
            </w:r>
            <w:proofErr w:type="spellEnd"/>
          </w:p>
        </w:tc>
        <w:tc>
          <w:tcPr>
            <w:tcW w:w="1075" w:type="dxa"/>
            <w:tcBorders>
              <w:top w:val="nil"/>
              <w:left w:val="nil"/>
              <w:bottom w:val="single" w:sz="4" w:space="0" w:color="auto"/>
              <w:right w:val="single" w:sz="4" w:space="0" w:color="auto"/>
            </w:tcBorders>
            <w:shd w:val="clear" w:color="F8CBAD" w:fill="FFFFFF"/>
            <w:noWrap/>
            <w:vAlign w:val="bottom"/>
            <w:hideMark/>
          </w:tcPr>
          <w:p w14:paraId="4789A7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6DC7BF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538CA5A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55BC836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w:t>
            </w:r>
          </w:p>
        </w:tc>
        <w:tc>
          <w:tcPr>
            <w:tcW w:w="931" w:type="dxa"/>
            <w:tcBorders>
              <w:top w:val="nil"/>
              <w:left w:val="nil"/>
              <w:bottom w:val="single" w:sz="4" w:space="0" w:color="auto"/>
              <w:right w:val="single" w:sz="4" w:space="0" w:color="auto"/>
            </w:tcBorders>
            <w:shd w:val="clear" w:color="F8CBAD" w:fill="FFFFFF"/>
            <w:noWrap/>
            <w:vAlign w:val="bottom"/>
            <w:hideMark/>
          </w:tcPr>
          <w:p w14:paraId="3C0946E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27,00</w:t>
            </w:r>
          </w:p>
        </w:tc>
        <w:tc>
          <w:tcPr>
            <w:tcW w:w="1219" w:type="dxa"/>
            <w:tcBorders>
              <w:top w:val="nil"/>
              <w:left w:val="nil"/>
              <w:bottom w:val="single" w:sz="4" w:space="0" w:color="auto"/>
              <w:right w:val="single" w:sz="4" w:space="0" w:color="auto"/>
            </w:tcBorders>
            <w:shd w:val="clear" w:color="F8CBAD" w:fill="FFFFFF"/>
            <w:noWrap/>
            <w:vAlign w:val="bottom"/>
            <w:hideMark/>
          </w:tcPr>
          <w:p w14:paraId="4AF0FE6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w:t>
            </w:r>
          </w:p>
        </w:tc>
        <w:tc>
          <w:tcPr>
            <w:tcW w:w="1075" w:type="dxa"/>
            <w:tcBorders>
              <w:top w:val="nil"/>
              <w:left w:val="nil"/>
              <w:bottom w:val="single" w:sz="4" w:space="0" w:color="auto"/>
              <w:right w:val="single" w:sz="4" w:space="0" w:color="auto"/>
            </w:tcBorders>
            <w:shd w:val="clear" w:color="F8CBAD" w:fill="FFFFFF"/>
            <w:noWrap/>
            <w:vAlign w:val="bottom"/>
            <w:hideMark/>
          </w:tcPr>
          <w:p w14:paraId="1A5BA48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5,00</w:t>
            </w:r>
          </w:p>
        </w:tc>
      </w:tr>
      <w:tr w:rsidR="002D4864" w:rsidRPr="00620F58" w14:paraId="14E1E319"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6C4D63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w:t>
            </w:r>
          </w:p>
        </w:tc>
        <w:tc>
          <w:tcPr>
            <w:tcW w:w="1845" w:type="dxa"/>
            <w:tcBorders>
              <w:top w:val="nil"/>
              <w:left w:val="nil"/>
              <w:bottom w:val="single" w:sz="4" w:space="0" w:color="auto"/>
              <w:right w:val="single" w:sz="4" w:space="0" w:color="auto"/>
            </w:tcBorders>
            <w:shd w:val="clear" w:color="000000" w:fill="FFFFFF"/>
            <w:noWrap/>
            <w:vAlign w:val="bottom"/>
            <w:hideMark/>
          </w:tcPr>
          <w:p w14:paraId="785C0C9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E5D129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Rahuste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539F1B2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2822,00</w:t>
            </w:r>
          </w:p>
        </w:tc>
        <w:tc>
          <w:tcPr>
            <w:tcW w:w="1120" w:type="dxa"/>
            <w:tcBorders>
              <w:top w:val="nil"/>
              <w:left w:val="nil"/>
              <w:bottom w:val="single" w:sz="4" w:space="0" w:color="auto"/>
              <w:right w:val="single" w:sz="4" w:space="0" w:color="auto"/>
            </w:tcBorders>
            <w:shd w:val="clear" w:color="000000" w:fill="FFFFFF"/>
            <w:noWrap/>
            <w:vAlign w:val="bottom"/>
            <w:hideMark/>
          </w:tcPr>
          <w:p w14:paraId="19E24B9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1838,20</w:t>
            </w:r>
          </w:p>
        </w:tc>
        <w:tc>
          <w:tcPr>
            <w:tcW w:w="1140" w:type="dxa"/>
            <w:tcBorders>
              <w:top w:val="nil"/>
              <w:left w:val="nil"/>
              <w:bottom w:val="single" w:sz="4" w:space="0" w:color="auto"/>
              <w:right w:val="single" w:sz="4" w:space="0" w:color="auto"/>
            </w:tcBorders>
            <w:shd w:val="clear" w:color="000000" w:fill="FFFFFF"/>
            <w:noWrap/>
            <w:vAlign w:val="bottom"/>
            <w:hideMark/>
          </w:tcPr>
          <w:p w14:paraId="197B9DB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935,50</w:t>
            </w:r>
          </w:p>
        </w:tc>
        <w:tc>
          <w:tcPr>
            <w:tcW w:w="1120" w:type="dxa"/>
            <w:tcBorders>
              <w:top w:val="nil"/>
              <w:left w:val="nil"/>
              <w:bottom w:val="single" w:sz="4" w:space="0" w:color="auto"/>
              <w:right w:val="single" w:sz="4" w:space="0" w:color="auto"/>
            </w:tcBorders>
            <w:shd w:val="clear" w:color="000000" w:fill="FFFFFF"/>
            <w:noWrap/>
            <w:vAlign w:val="bottom"/>
            <w:hideMark/>
          </w:tcPr>
          <w:p w14:paraId="365DC9C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1142,80</w:t>
            </w:r>
          </w:p>
        </w:tc>
        <w:tc>
          <w:tcPr>
            <w:tcW w:w="931" w:type="dxa"/>
            <w:tcBorders>
              <w:top w:val="nil"/>
              <w:left w:val="nil"/>
              <w:bottom w:val="single" w:sz="4" w:space="0" w:color="auto"/>
              <w:right w:val="single" w:sz="4" w:space="0" w:color="auto"/>
            </w:tcBorders>
            <w:shd w:val="clear" w:color="000000" w:fill="FFFFFF"/>
            <w:noWrap/>
            <w:vAlign w:val="bottom"/>
            <w:hideMark/>
          </w:tcPr>
          <w:p w14:paraId="471374E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46,00</w:t>
            </w:r>
          </w:p>
        </w:tc>
        <w:tc>
          <w:tcPr>
            <w:tcW w:w="1219" w:type="dxa"/>
            <w:tcBorders>
              <w:top w:val="nil"/>
              <w:left w:val="nil"/>
              <w:bottom w:val="single" w:sz="4" w:space="0" w:color="auto"/>
              <w:right w:val="single" w:sz="4" w:space="0" w:color="auto"/>
            </w:tcBorders>
            <w:shd w:val="clear" w:color="000000" w:fill="FFFFFF"/>
            <w:noWrap/>
            <w:vAlign w:val="bottom"/>
            <w:hideMark/>
          </w:tcPr>
          <w:p w14:paraId="5079451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357,00</w:t>
            </w:r>
          </w:p>
        </w:tc>
        <w:tc>
          <w:tcPr>
            <w:tcW w:w="1075" w:type="dxa"/>
            <w:tcBorders>
              <w:top w:val="nil"/>
              <w:left w:val="nil"/>
              <w:bottom w:val="single" w:sz="4" w:space="0" w:color="auto"/>
              <w:right w:val="single" w:sz="4" w:space="0" w:color="auto"/>
            </w:tcBorders>
            <w:shd w:val="clear" w:color="000000" w:fill="FFFFFF"/>
            <w:noWrap/>
            <w:vAlign w:val="bottom"/>
            <w:hideMark/>
          </w:tcPr>
          <w:p w14:paraId="575C8ED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227,00</w:t>
            </w:r>
          </w:p>
        </w:tc>
      </w:tr>
      <w:tr w:rsidR="002D4864" w:rsidRPr="00620F58" w14:paraId="187873D6"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8D1E0A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87</w:t>
            </w:r>
          </w:p>
        </w:tc>
        <w:tc>
          <w:tcPr>
            <w:tcW w:w="1845" w:type="dxa"/>
            <w:tcBorders>
              <w:top w:val="nil"/>
              <w:left w:val="nil"/>
              <w:bottom w:val="single" w:sz="4" w:space="0" w:color="auto"/>
              <w:right w:val="single" w:sz="4" w:space="0" w:color="auto"/>
            </w:tcBorders>
            <w:shd w:val="clear" w:color="000000" w:fill="FFFFFF"/>
            <w:noWrap/>
            <w:vAlign w:val="bottom"/>
            <w:hideMark/>
          </w:tcPr>
          <w:p w14:paraId="66A3D40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3609482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Rannaaugu sadam</w:t>
            </w:r>
          </w:p>
        </w:tc>
        <w:tc>
          <w:tcPr>
            <w:tcW w:w="1075" w:type="dxa"/>
            <w:tcBorders>
              <w:top w:val="nil"/>
              <w:left w:val="nil"/>
              <w:bottom w:val="single" w:sz="4" w:space="0" w:color="auto"/>
              <w:right w:val="single" w:sz="4" w:space="0" w:color="auto"/>
            </w:tcBorders>
            <w:shd w:val="clear" w:color="000000" w:fill="FFFFFF"/>
            <w:noWrap/>
            <w:vAlign w:val="bottom"/>
            <w:hideMark/>
          </w:tcPr>
          <w:p w14:paraId="1D223B4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3164,40</w:t>
            </w:r>
          </w:p>
        </w:tc>
        <w:tc>
          <w:tcPr>
            <w:tcW w:w="1120" w:type="dxa"/>
            <w:tcBorders>
              <w:top w:val="nil"/>
              <w:left w:val="nil"/>
              <w:bottom w:val="single" w:sz="4" w:space="0" w:color="auto"/>
              <w:right w:val="single" w:sz="4" w:space="0" w:color="auto"/>
            </w:tcBorders>
            <w:shd w:val="clear" w:color="000000" w:fill="FFFFFF"/>
            <w:noWrap/>
            <w:vAlign w:val="bottom"/>
            <w:hideMark/>
          </w:tcPr>
          <w:p w14:paraId="4548688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5315,70</w:t>
            </w:r>
          </w:p>
        </w:tc>
        <w:tc>
          <w:tcPr>
            <w:tcW w:w="1140" w:type="dxa"/>
            <w:tcBorders>
              <w:top w:val="nil"/>
              <w:left w:val="nil"/>
              <w:bottom w:val="single" w:sz="4" w:space="0" w:color="auto"/>
              <w:right w:val="single" w:sz="4" w:space="0" w:color="auto"/>
            </w:tcBorders>
            <w:shd w:val="clear" w:color="000000" w:fill="FFFFFF"/>
            <w:noWrap/>
            <w:vAlign w:val="bottom"/>
            <w:hideMark/>
          </w:tcPr>
          <w:p w14:paraId="05DF188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4901,00</w:t>
            </w:r>
          </w:p>
        </w:tc>
        <w:tc>
          <w:tcPr>
            <w:tcW w:w="1120" w:type="dxa"/>
            <w:tcBorders>
              <w:top w:val="nil"/>
              <w:left w:val="nil"/>
              <w:bottom w:val="single" w:sz="4" w:space="0" w:color="auto"/>
              <w:right w:val="single" w:sz="4" w:space="0" w:color="auto"/>
            </w:tcBorders>
            <w:shd w:val="clear" w:color="000000" w:fill="FFFFFF"/>
            <w:noWrap/>
            <w:vAlign w:val="bottom"/>
            <w:hideMark/>
          </w:tcPr>
          <w:p w14:paraId="5ABCB4D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4757,00</w:t>
            </w:r>
          </w:p>
        </w:tc>
        <w:tc>
          <w:tcPr>
            <w:tcW w:w="931" w:type="dxa"/>
            <w:tcBorders>
              <w:top w:val="nil"/>
              <w:left w:val="nil"/>
              <w:bottom w:val="single" w:sz="4" w:space="0" w:color="auto"/>
              <w:right w:val="single" w:sz="4" w:space="0" w:color="auto"/>
            </w:tcBorders>
            <w:shd w:val="clear" w:color="000000" w:fill="FFFFFF"/>
            <w:noWrap/>
            <w:vAlign w:val="bottom"/>
            <w:hideMark/>
          </w:tcPr>
          <w:p w14:paraId="1472154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4761,00</w:t>
            </w:r>
          </w:p>
        </w:tc>
        <w:tc>
          <w:tcPr>
            <w:tcW w:w="1219" w:type="dxa"/>
            <w:tcBorders>
              <w:top w:val="nil"/>
              <w:left w:val="nil"/>
              <w:bottom w:val="single" w:sz="4" w:space="0" w:color="auto"/>
              <w:right w:val="single" w:sz="4" w:space="0" w:color="auto"/>
            </w:tcBorders>
            <w:shd w:val="clear" w:color="000000" w:fill="FFFFFF"/>
            <w:noWrap/>
            <w:vAlign w:val="bottom"/>
            <w:hideMark/>
          </w:tcPr>
          <w:p w14:paraId="77A77D6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2537,10</w:t>
            </w:r>
          </w:p>
        </w:tc>
        <w:tc>
          <w:tcPr>
            <w:tcW w:w="1075" w:type="dxa"/>
            <w:tcBorders>
              <w:top w:val="nil"/>
              <w:left w:val="nil"/>
              <w:bottom w:val="single" w:sz="4" w:space="0" w:color="auto"/>
              <w:right w:val="single" w:sz="4" w:space="0" w:color="auto"/>
            </w:tcBorders>
            <w:shd w:val="clear" w:color="000000" w:fill="FFFFFF"/>
            <w:noWrap/>
            <w:vAlign w:val="bottom"/>
            <w:hideMark/>
          </w:tcPr>
          <w:p w14:paraId="6F833AE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2775,70</w:t>
            </w:r>
          </w:p>
        </w:tc>
      </w:tr>
      <w:tr w:rsidR="002D4864" w:rsidRPr="00620F58" w14:paraId="6B47AE8A"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6000953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88</w:t>
            </w:r>
          </w:p>
        </w:tc>
        <w:tc>
          <w:tcPr>
            <w:tcW w:w="1845" w:type="dxa"/>
            <w:tcBorders>
              <w:top w:val="nil"/>
              <w:left w:val="nil"/>
              <w:bottom w:val="single" w:sz="4" w:space="0" w:color="auto"/>
              <w:right w:val="single" w:sz="4" w:space="0" w:color="auto"/>
            </w:tcBorders>
            <w:shd w:val="clear" w:color="F8CBAD" w:fill="FFFFFF"/>
            <w:noWrap/>
            <w:vAlign w:val="bottom"/>
            <w:hideMark/>
          </w:tcPr>
          <w:p w14:paraId="11690280"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04919FBA"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Rannaküla Kihelkonna</w:t>
            </w:r>
          </w:p>
        </w:tc>
        <w:tc>
          <w:tcPr>
            <w:tcW w:w="1075" w:type="dxa"/>
            <w:tcBorders>
              <w:top w:val="nil"/>
              <w:left w:val="nil"/>
              <w:bottom w:val="single" w:sz="4" w:space="0" w:color="auto"/>
              <w:right w:val="single" w:sz="4" w:space="0" w:color="auto"/>
            </w:tcBorders>
            <w:shd w:val="clear" w:color="F8CBAD" w:fill="FFFFFF"/>
            <w:noWrap/>
            <w:vAlign w:val="bottom"/>
            <w:hideMark/>
          </w:tcPr>
          <w:p w14:paraId="61A9510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44,00</w:t>
            </w:r>
          </w:p>
        </w:tc>
        <w:tc>
          <w:tcPr>
            <w:tcW w:w="1120" w:type="dxa"/>
            <w:tcBorders>
              <w:top w:val="nil"/>
              <w:left w:val="nil"/>
              <w:bottom w:val="single" w:sz="4" w:space="0" w:color="auto"/>
              <w:right w:val="single" w:sz="4" w:space="0" w:color="auto"/>
            </w:tcBorders>
            <w:shd w:val="clear" w:color="F8CBAD" w:fill="FFFFFF"/>
            <w:noWrap/>
            <w:vAlign w:val="bottom"/>
            <w:hideMark/>
          </w:tcPr>
          <w:p w14:paraId="379644B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55,00</w:t>
            </w:r>
          </w:p>
        </w:tc>
        <w:tc>
          <w:tcPr>
            <w:tcW w:w="1140" w:type="dxa"/>
            <w:tcBorders>
              <w:top w:val="nil"/>
              <w:left w:val="nil"/>
              <w:bottom w:val="single" w:sz="4" w:space="0" w:color="auto"/>
              <w:right w:val="single" w:sz="4" w:space="0" w:color="auto"/>
            </w:tcBorders>
            <w:shd w:val="clear" w:color="F8CBAD" w:fill="FFFFFF"/>
            <w:noWrap/>
            <w:vAlign w:val="bottom"/>
            <w:hideMark/>
          </w:tcPr>
          <w:p w14:paraId="1AD641A0"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28A04C40"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289A04C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37B5EB6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w:t>
            </w:r>
          </w:p>
        </w:tc>
        <w:tc>
          <w:tcPr>
            <w:tcW w:w="1075" w:type="dxa"/>
            <w:tcBorders>
              <w:top w:val="nil"/>
              <w:left w:val="nil"/>
              <w:bottom w:val="single" w:sz="4" w:space="0" w:color="auto"/>
              <w:right w:val="single" w:sz="4" w:space="0" w:color="auto"/>
            </w:tcBorders>
            <w:shd w:val="clear" w:color="F8CBAD" w:fill="FFFFFF"/>
            <w:noWrap/>
            <w:vAlign w:val="bottom"/>
            <w:hideMark/>
          </w:tcPr>
          <w:p w14:paraId="5913E511"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5C8AB449"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37FFDD8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89</w:t>
            </w:r>
          </w:p>
        </w:tc>
        <w:tc>
          <w:tcPr>
            <w:tcW w:w="1845" w:type="dxa"/>
            <w:tcBorders>
              <w:top w:val="nil"/>
              <w:left w:val="nil"/>
              <w:bottom w:val="single" w:sz="4" w:space="0" w:color="auto"/>
              <w:right w:val="single" w:sz="4" w:space="0" w:color="auto"/>
            </w:tcBorders>
            <w:shd w:val="clear" w:color="F8CBAD" w:fill="FFFFFF"/>
            <w:noWrap/>
            <w:vAlign w:val="bottom"/>
            <w:hideMark/>
          </w:tcPr>
          <w:p w14:paraId="6DE1F4AE"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1074AE5A"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Rannaküla Laimjala</w:t>
            </w:r>
          </w:p>
        </w:tc>
        <w:tc>
          <w:tcPr>
            <w:tcW w:w="1075" w:type="dxa"/>
            <w:tcBorders>
              <w:top w:val="nil"/>
              <w:left w:val="nil"/>
              <w:bottom w:val="single" w:sz="4" w:space="0" w:color="auto"/>
              <w:right w:val="single" w:sz="4" w:space="0" w:color="auto"/>
            </w:tcBorders>
            <w:shd w:val="clear" w:color="F8CBAD" w:fill="FFFFFF"/>
            <w:noWrap/>
            <w:vAlign w:val="bottom"/>
            <w:hideMark/>
          </w:tcPr>
          <w:p w14:paraId="67515EFA"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42,00</w:t>
            </w:r>
          </w:p>
        </w:tc>
        <w:tc>
          <w:tcPr>
            <w:tcW w:w="1120" w:type="dxa"/>
            <w:tcBorders>
              <w:top w:val="nil"/>
              <w:left w:val="nil"/>
              <w:bottom w:val="single" w:sz="4" w:space="0" w:color="auto"/>
              <w:right w:val="single" w:sz="4" w:space="0" w:color="auto"/>
            </w:tcBorders>
            <w:shd w:val="clear" w:color="F8CBAD" w:fill="FFFFFF"/>
            <w:noWrap/>
            <w:vAlign w:val="bottom"/>
            <w:hideMark/>
          </w:tcPr>
          <w:p w14:paraId="37B58413"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4,00</w:t>
            </w:r>
          </w:p>
        </w:tc>
        <w:tc>
          <w:tcPr>
            <w:tcW w:w="1140" w:type="dxa"/>
            <w:tcBorders>
              <w:top w:val="nil"/>
              <w:left w:val="nil"/>
              <w:bottom w:val="single" w:sz="4" w:space="0" w:color="auto"/>
              <w:right w:val="single" w:sz="4" w:space="0" w:color="auto"/>
            </w:tcBorders>
            <w:shd w:val="clear" w:color="F8CBAD" w:fill="FFFFFF"/>
            <w:noWrap/>
            <w:vAlign w:val="bottom"/>
            <w:hideMark/>
          </w:tcPr>
          <w:p w14:paraId="49988BEB"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7C3C86F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3913A93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424EC4C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62E09395"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73BEF3B3" w14:textId="77777777" w:rsidTr="00B42464">
        <w:trPr>
          <w:trHeight w:val="6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503349B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lastRenderedPageBreak/>
              <w:t>90</w:t>
            </w:r>
          </w:p>
        </w:tc>
        <w:tc>
          <w:tcPr>
            <w:tcW w:w="1845" w:type="dxa"/>
            <w:tcBorders>
              <w:top w:val="nil"/>
              <w:left w:val="nil"/>
              <w:bottom w:val="single" w:sz="4" w:space="0" w:color="auto"/>
              <w:right w:val="single" w:sz="4" w:space="0" w:color="auto"/>
            </w:tcBorders>
            <w:shd w:val="clear" w:color="F8CBAD" w:fill="FFFFFF"/>
            <w:noWrap/>
            <w:vAlign w:val="bottom"/>
            <w:hideMark/>
          </w:tcPr>
          <w:p w14:paraId="5A9F81E3"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vAlign w:val="bottom"/>
            <w:hideMark/>
          </w:tcPr>
          <w:p w14:paraId="3446D934"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 xml:space="preserve">Rannaküla paadisadam Orissaare </w:t>
            </w:r>
          </w:p>
        </w:tc>
        <w:tc>
          <w:tcPr>
            <w:tcW w:w="1075" w:type="dxa"/>
            <w:tcBorders>
              <w:top w:val="nil"/>
              <w:left w:val="nil"/>
              <w:bottom w:val="single" w:sz="4" w:space="0" w:color="auto"/>
              <w:right w:val="single" w:sz="4" w:space="0" w:color="auto"/>
            </w:tcBorders>
            <w:shd w:val="clear" w:color="F8CBAD" w:fill="FFFFFF"/>
            <w:noWrap/>
            <w:vAlign w:val="bottom"/>
            <w:hideMark/>
          </w:tcPr>
          <w:p w14:paraId="1D075D69"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3E973D7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40,00</w:t>
            </w:r>
          </w:p>
        </w:tc>
        <w:tc>
          <w:tcPr>
            <w:tcW w:w="1140" w:type="dxa"/>
            <w:tcBorders>
              <w:top w:val="nil"/>
              <w:left w:val="nil"/>
              <w:bottom w:val="single" w:sz="4" w:space="0" w:color="auto"/>
              <w:right w:val="single" w:sz="4" w:space="0" w:color="auto"/>
            </w:tcBorders>
            <w:shd w:val="clear" w:color="F8CBAD" w:fill="FFFFFF"/>
            <w:noWrap/>
            <w:vAlign w:val="bottom"/>
            <w:hideMark/>
          </w:tcPr>
          <w:p w14:paraId="4B1ED507"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78DF479B"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28CAEBE3"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0BC8309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19FC00FF"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1F24781B"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F981BA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91</w:t>
            </w:r>
          </w:p>
        </w:tc>
        <w:tc>
          <w:tcPr>
            <w:tcW w:w="1845" w:type="dxa"/>
            <w:tcBorders>
              <w:top w:val="nil"/>
              <w:left w:val="nil"/>
              <w:bottom w:val="single" w:sz="4" w:space="0" w:color="auto"/>
              <w:right w:val="single" w:sz="4" w:space="0" w:color="auto"/>
            </w:tcBorders>
            <w:shd w:val="clear" w:color="000000" w:fill="FFFFFF"/>
            <w:noWrap/>
            <w:vAlign w:val="bottom"/>
            <w:hideMark/>
          </w:tcPr>
          <w:p w14:paraId="0969B8CD"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7E34FF0"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Rannaküla (Pihtla)</w:t>
            </w:r>
          </w:p>
        </w:tc>
        <w:tc>
          <w:tcPr>
            <w:tcW w:w="1075" w:type="dxa"/>
            <w:tcBorders>
              <w:top w:val="nil"/>
              <w:left w:val="nil"/>
              <w:bottom w:val="single" w:sz="4" w:space="0" w:color="auto"/>
              <w:right w:val="single" w:sz="4" w:space="0" w:color="auto"/>
            </w:tcBorders>
            <w:shd w:val="clear" w:color="000000" w:fill="FFFFFF"/>
            <w:noWrap/>
            <w:vAlign w:val="bottom"/>
            <w:hideMark/>
          </w:tcPr>
          <w:p w14:paraId="267E7E4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1604,00</w:t>
            </w:r>
          </w:p>
        </w:tc>
        <w:tc>
          <w:tcPr>
            <w:tcW w:w="1120" w:type="dxa"/>
            <w:tcBorders>
              <w:top w:val="nil"/>
              <w:left w:val="nil"/>
              <w:bottom w:val="single" w:sz="4" w:space="0" w:color="auto"/>
              <w:right w:val="single" w:sz="4" w:space="0" w:color="auto"/>
            </w:tcBorders>
            <w:shd w:val="clear" w:color="000000" w:fill="FFFFFF"/>
            <w:noWrap/>
            <w:vAlign w:val="bottom"/>
            <w:hideMark/>
          </w:tcPr>
          <w:p w14:paraId="5DBE7C2C"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1879,00</w:t>
            </w:r>
          </w:p>
        </w:tc>
        <w:tc>
          <w:tcPr>
            <w:tcW w:w="1140" w:type="dxa"/>
            <w:tcBorders>
              <w:top w:val="nil"/>
              <w:left w:val="nil"/>
              <w:bottom w:val="single" w:sz="4" w:space="0" w:color="auto"/>
              <w:right w:val="single" w:sz="4" w:space="0" w:color="auto"/>
            </w:tcBorders>
            <w:shd w:val="clear" w:color="000000" w:fill="FFFFFF"/>
            <w:noWrap/>
            <w:vAlign w:val="bottom"/>
            <w:hideMark/>
          </w:tcPr>
          <w:p w14:paraId="6FAE87C9"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1222,00</w:t>
            </w:r>
          </w:p>
        </w:tc>
        <w:tc>
          <w:tcPr>
            <w:tcW w:w="1120" w:type="dxa"/>
            <w:tcBorders>
              <w:top w:val="nil"/>
              <w:left w:val="nil"/>
              <w:bottom w:val="single" w:sz="4" w:space="0" w:color="auto"/>
              <w:right w:val="single" w:sz="4" w:space="0" w:color="auto"/>
            </w:tcBorders>
            <w:shd w:val="clear" w:color="000000" w:fill="FFFFFF"/>
            <w:noWrap/>
            <w:vAlign w:val="bottom"/>
            <w:hideMark/>
          </w:tcPr>
          <w:p w14:paraId="159C2820"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618,00</w:t>
            </w:r>
          </w:p>
        </w:tc>
        <w:tc>
          <w:tcPr>
            <w:tcW w:w="931" w:type="dxa"/>
            <w:tcBorders>
              <w:top w:val="nil"/>
              <w:left w:val="nil"/>
              <w:bottom w:val="single" w:sz="4" w:space="0" w:color="auto"/>
              <w:right w:val="single" w:sz="4" w:space="0" w:color="auto"/>
            </w:tcBorders>
            <w:shd w:val="clear" w:color="000000" w:fill="FFFFFF"/>
            <w:noWrap/>
            <w:vAlign w:val="bottom"/>
            <w:hideMark/>
          </w:tcPr>
          <w:p w14:paraId="22BC2214"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825,00</w:t>
            </w:r>
          </w:p>
        </w:tc>
        <w:tc>
          <w:tcPr>
            <w:tcW w:w="1219" w:type="dxa"/>
            <w:tcBorders>
              <w:top w:val="nil"/>
              <w:left w:val="nil"/>
              <w:bottom w:val="single" w:sz="4" w:space="0" w:color="auto"/>
              <w:right w:val="single" w:sz="4" w:space="0" w:color="auto"/>
            </w:tcBorders>
            <w:shd w:val="clear" w:color="000000" w:fill="FFFFFF"/>
            <w:noWrap/>
            <w:vAlign w:val="bottom"/>
            <w:hideMark/>
          </w:tcPr>
          <w:p w14:paraId="26741390"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2172,80</w:t>
            </w:r>
          </w:p>
        </w:tc>
        <w:tc>
          <w:tcPr>
            <w:tcW w:w="1075" w:type="dxa"/>
            <w:tcBorders>
              <w:top w:val="nil"/>
              <w:left w:val="nil"/>
              <w:bottom w:val="single" w:sz="4" w:space="0" w:color="auto"/>
              <w:right w:val="single" w:sz="4" w:space="0" w:color="auto"/>
            </w:tcBorders>
            <w:shd w:val="clear" w:color="000000" w:fill="FFFFFF"/>
            <w:noWrap/>
            <w:vAlign w:val="bottom"/>
            <w:hideMark/>
          </w:tcPr>
          <w:p w14:paraId="4E1F3AED"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795,00</w:t>
            </w:r>
          </w:p>
        </w:tc>
      </w:tr>
      <w:tr w:rsidR="002D4864" w:rsidRPr="00620F58" w14:paraId="34ABF387"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55206DC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92</w:t>
            </w:r>
          </w:p>
        </w:tc>
        <w:tc>
          <w:tcPr>
            <w:tcW w:w="1845" w:type="dxa"/>
            <w:tcBorders>
              <w:top w:val="nil"/>
              <w:left w:val="nil"/>
              <w:bottom w:val="single" w:sz="4" w:space="0" w:color="auto"/>
              <w:right w:val="single" w:sz="4" w:space="0" w:color="auto"/>
            </w:tcBorders>
            <w:shd w:val="clear" w:color="F8CBAD" w:fill="FFFFFF"/>
            <w:noWrap/>
            <w:vAlign w:val="bottom"/>
            <w:hideMark/>
          </w:tcPr>
          <w:p w14:paraId="581FB664"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53A51163"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Rannaküla Orissaare</w:t>
            </w:r>
          </w:p>
        </w:tc>
        <w:tc>
          <w:tcPr>
            <w:tcW w:w="1075" w:type="dxa"/>
            <w:tcBorders>
              <w:top w:val="nil"/>
              <w:left w:val="nil"/>
              <w:bottom w:val="single" w:sz="4" w:space="0" w:color="auto"/>
              <w:right w:val="single" w:sz="4" w:space="0" w:color="auto"/>
            </w:tcBorders>
            <w:shd w:val="clear" w:color="F8CBAD" w:fill="FFFFFF"/>
            <w:noWrap/>
            <w:vAlign w:val="bottom"/>
            <w:hideMark/>
          </w:tcPr>
          <w:p w14:paraId="7E98F4DA"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4,00</w:t>
            </w:r>
          </w:p>
        </w:tc>
        <w:tc>
          <w:tcPr>
            <w:tcW w:w="1120" w:type="dxa"/>
            <w:tcBorders>
              <w:top w:val="nil"/>
              <w:left w:val="nil"/>
              <w:bottom w:val="single" w:sz="4" w:space="0" w:color="auto"/>
              <w:right w:val="single" w:sz="4" w:space="0" w:color="auto"/>
            </w:tcBorders>
            <w:shd w:val="clear" w:color="F8CBAD" w:fill="FFFFFF"/>
            <w:noWrap/>
            <w:vAlign w:val="bottom"/>
            <w:hideMark/>
          </w:tcPr>
          <w:p w14:paraId="4CF652F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53,00</w:t>
            </w:r>
          </w:p>
        </w:tc>
        <w:tc>
          <w:tcPr>
            <w:tcW w:w="1140" w:type="dxa"/>
            <w:tcBorders>
              <w:top w:val="nil"/>
              <w:left w:val="nil"/>
              <w:bottom w:val="single" w:sz="4" w:space="0" w:color="auto"/>
              <w:right w:val="single" w:sz="4" w:space="0" w:color="auto"/>
            </w:tcBorders>
            <w:shd w:val="clear" w:color="F8CBAD" w:fill="FFFFFF"/>
            <w:noWrap/>
            <w:vAlign w:val="bottom"/>
            <w:hideMark/>
          </w:tcPr>
          <w:p w14:paraId="20DAC799"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427EC9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0AABEC38"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0091DCE4"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76D3C14F"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506E2A05"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43AA62C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93</w:t>
            </w:r>
          </w:p>
        </w:tc>
        <w:tc>
          <w:tcPr>
            <w:tcW w:w="1845" w:type="dxa"/>
            <w:tcBorders>
              <w:top w:val="nil"/>
              <w:left w:val="nil"/>
              <w:bottom w:val="single" w:sz="4" w:space="0" w:color="auto"/>
              <w:right w:val="single" w:sz="4" w:space="0" w:color="auto"/>
            </w:tcBorders>
            <w:shd w:val="clear" w:color="F8CBAD" w:fill="FFFFFF"/>
            <w:noWrap/>
            <w:vAlign w:val="bottom"/>
            <w:hideMark/>
          </w:tcPr>
          <w:p w14:paraId="7A9C32D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5558994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Ranna - Panga</w:t>
            </w:r>
          </w:p>
        </w:tc>
        <w:tc>
          <w:tcPr>
            <w:tcW w:w="1075" w:type="dxa"/>
            <w:tcBorders>
              <w:top w:val="nil"/>
              <w:left w:val="nil"/>
              <w:bottom w:val="single" w:sz="4" w:space="0" w:color="auto"/>
              <w:right w:val="single" w:sz="4" w:space="0" w:color="auto"/>
            </w:tcBorders>
            <w:shd w:val="clear" w:color="F8CBAD" w:fill="FFFFFF"/>
            <w:noWrap/>
            <w:vAlign w:val="bottom"/>
            <w:hideMark/>
          </w:tcPr>
          <w:p w14:paraId="42FC69B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6871860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662F728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4548FFB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1C87713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35,00</w:t>
            </w:r>
          </w:p>
        </w:tc>
        <w:tc>
          <w:tcPr>
            <w:tcW w:w="1219" w:type="dxa"/>
            <w:tcBorders>
              <w:top w:val="nil"/>
              <w:left w:val="nil"/>
              <w:bottom w:val="single" w:sz="4" w:space="0" w:color="auto"/>
              <w:right w:val="single" w:sz="4" w:space="0" w:color="auto"/>
            </w:tcBorders>
            <w:shd w:val="clear" w:color="F8CBAD" w:fill="FFFFFF"/>
            <w:noWrap/>
            <w:vAlign w:val="bottom"/>
            <w:hideMark/>
          </w:tcPr>
          <w:p w14:paraId="131015D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6B239DE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147,00</w:t>
            </w:r>
          </w:p>
        </w:tc>
      </w:tr>
      <w:tr w:rsidR="002D4864" w:rsidRPr="00620F58" w14:paraId="10F8DE26"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2D4EE02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94</w:t>
            </w:r>
          </w:p>
        </w:tc>
        <w:tc>
          <w:tcPr>
            <w:tcW w:w="1845" w:type="dxa"/>
            <w:tcBorders>
              <w:top w:val="nil"/>
              <w:left w:val="nil"/>
              <w:bottom w:val="single" w:sz="4" w:space="0" w:color="auto"/>
              <w:right w:val="single" w:sz="4" w:space="0" w:color="auto"/>
            </w:tcBorders>
            <w:shd w:val="clear" w:color="F8CBAD" w:fill="FFFFFF"/>
            <w:noWrap/>
            <w:vAlign w:val="bottom"/>
            <w:hideMark/>
          </w:tcPr>
          <w:p w14:paraId="45FA05F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23C2DD3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Riksu</w:t>
            </w:r>
            <w:proofErr w:type="spellEnd"/>
          </w:p>
        </w:tc>
        <w:tc>
          <w:tcPr>
            <w:tcW w:w="1075" w:type="dxa"/>
            <w:tcBorders>
              <w:top w:val="nil"/>
              <w:left w:val="nil"/>
              <w:bottom w:val="single" w:sz="4" w:space="0" w:color="auto"/>
              <w:right w:val="single" w:sz="4" w:space="0" w:color="auto"/>
            </w:tcBorders>
            <w:shd w:val="clear" w:color="F8CBAD" w:fill="FFFFFF"/>
            <w:noWrap/>
            <w:vAlign w:val="bottom"/>
            <w:hideMark/>
          </w:tcPr>
          <w:p w14:paraId="05AD920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55,00</w:t>
            </w:r>
          </w:p>
        </w:tc>
        <w:tc>
          <w:tcPr>
            <w:tcW w:w="1120" w:type="dxa"/>
            <w:tcBorders>
              <w:top w:val="nil"/>
              <w:left w:val="nil"/>
              <w:bottom w:val="single" w:sz="4" w:space="0" w:color="auto"/>
              <w:right w:val="single" w:sz="4" w:space="0" w:color="auto"/>
            </w:tcBorders>
            <w:shd w:val="clear" w:color="F8CBAD" w:fill="FFFFFF"/>
            <w:noWrap/>
            <w:vAlign w:val="bottom"/>
            <w:hideMark/>
          </w:tcPr>
          <w:p w14:paraId="6EC8B4F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24D45DE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28,00</w:t>
            </w:r>
          </w:p>
        </w:tc>
        <w:tc>
          <w:tcPr>
            <w:tcW w:w="1120" w:type="dxa"/>
            <w:tcBorders>
              <w:top w:val="nil"/>
              <w:left w:val="nil"/>
              <w:bottom w:val="single" w:sz="4" w:space="0" w:color="auto"/>
              <w:right w:val="single" w:sz="4" w:space="0" w:color="auto"/>
            </w:tcBorders>
            <w:shd w:val="clear" w:color="F8CBAD" w:fill="FFFFFF"/>
            <w:noWrap/>
            <w:vAlign w:val="bottom"/>
            <w:hideMark/>
          </w:tcPr>
          <w:p w14:paraId="0224051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9,50</w:t>
            </w:r>
          </w:p>
        </w:tc>
        <w:tc>
          <w:tcPr>
            <w:tcW w:w="931" w:type="dxa"/>
            <w:tcBorders>
              <w:top w:val="nil"/>
              <w:left w:val="nil"/>
              <w:bottom w:val="single" w:sz="4" w:space="0" w:color="auto"/>
              <w:right w:val="single" w:sz="4" w:space="0" w:color="auto"/>
            </w:tcBorders>
            <w:shd w:val="clear" w:color="F8CBAD" w:fill="FFFFFF"/>
            <w:noWrap/>
            <w:vAlign w:val="bottom"/>
            <w:hideMark/>
          </w:tcPr>
          <w:p w14:paraId="3AE3515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15,00</w:t>
            </w:r>
          </w:p>
        </w:tc>
        <w:tc>
          <w:tcPr>
            <w:tcW w:w="1219" w:type="dxa"/>
            <w:tcBorders>
              <w:top w:val="nil"/>
              <w:left w:val="nil"/>
              <w:bottom w:val="single" w:sz="4" w:space="0" w:color="auto"/>
              <w:right w:val="single" w:sz="4" w:space="0" w:color="auto"/>
            </w:tcBorders>
            <w:shd w:val="clear" w:color="F8CBAD" w:fill="FFFFFF"/>
            <w:noWrap/>
            <w:vAlign w:val="bottom"/>
            <w:hideMark/>
          </w:tcPr>
          <w:p w14:paraId="3DB358B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38,00</w:t>
            </w:r>
          </w:p>
        </w:tc>
        <w:tc>
          <w:tcPr>
            <w:tcW w:w="1075" w:type="dxa"/>
            <w:tcBorders>
              <w:top w:val="nil"/>
              <w:left w:val="nil"/>
              <w:bottom w:val="single" w:sz="4" w:space="0" w:color="auto"/>
              <w:right w:val="single" w:sz="4" w:space="0" w:color="auto"/>
            </w:tcBorders>
            <w:shd w:val="clear" w:color="F8CBAD" w:fill="FFFFFF"/>
            <w:noWrap/>
            <w:vAlign w:val="bottom"/>
            <w:hideMark/>
          </w:tcPr>
          <w:p w14:paraId="245FF9A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4,00</w:t>
            </w:r>
          </w:p>
        </w:tc>
      </w:tr>
      <w:tr w:rsidR="002D4864" w:rsidRPr="00620F58" w14:paraId="13CDAF03"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366F1BE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95</w:t>
            </w:r>
          </w:p>
        </w:tc>
        <w:tc>
          <w:tcPr>
            <w:tcW w:w="1845" w:type="dxa"/>
            <w:tcBorders>
              <w:top w:val="nil"/>
              <w:left w:val="nil"/>
              <w:bottom w:val="single" w:sz="4" w:space="0" w:color="auto"/>
              <w:right w:val="single" w:sz="4" w:space="0" w:color="auto"/>
            </w:tcBorders>
            <w:shd w:val="clear" w:color="F8CBAD" w:fill="FFFFFF"/>
            <w:noWrap/>
            <w:vAlign w:val="bottom"/>
            <w:hideMark/>
          </w:tcPr>
          <w:p w14:paraId="5F8EBE1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0220642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Ristiaugu</w:t>
            </w:r>
          </w:p>
        </w:tc>
        <w:tc>
          <w:tcPr>
            <w:tcW w:w="1075" w:type="dxa"/>
            <w:tcBorders>
              <w:top w:val="nil"/>
              <w:left w:val="nil"/>
              <w:bottom w:val="single" w:sz="4" w:space="0" w:color="auto"/>
              <w:right w:val="single" w:sz="4" w:space="0" w:color="auto"/>
            </w:tcBorders>
            <w:shd w:val="clear" w:color="F8CBAD" w:fill="FFFFFF"/>
            <w:noWrap/>
            <w:vAlign w:val="bottom"/>
            <w:hideMark/>
          </w:tcPr>
          <w:p w14:paraId="2FAE410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4B01406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0A1062E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31AEBCD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179043A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5,00</w:t>
            </w:r>
          </w:p>
        </w:tc>
        <w:tc>
          <w:tcPr>
            <w:tcW w:w="1219" w:type="dxa"/>
            <w:tcBorders>
              <w:top w:val="nil"/>
              <w:left w:val="nil"/>
              <w:bottom w:val="single" w:sz="4" w:space="0" w:color="auto"/>
              <w:right w:val="single" w:sz="4" w:space="0" w:color="auto"/>
            </w:tcBorders>
            <w:shd w:val="clear" w:color="F8CBAD" w:fill="FFFFFF"/>
            <w:noWrap/>
            <w:vAlign w:val="bottom"/>
            <w:hideMark/>
          </w:tcPr>
          <w:p w14:paraId="1481121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369F2EA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565DB8E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4BFC09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96</w:t>
            </w:r>
          </w:p>
        </w:tc>
        <w:tc>
          <w:tcPr>
            <w:tcW w:w="1845" w:type="dxa"/>
            <w:tcBorders>
              <w:top w:val="nil"/>
              <w:left w:val="nil"/>
              <w:bottom w:val="single" w:sz="4" w:space="0" w:color="auto"/>
              <w:right w:val="single" w:sz="4" w:space="0" w:color="auto"/>
            </w:tcBorders>
            <w:shd w:val="clear" w:color="000000" w:fill="FFFFFF"/>
            <w:noWrap/>
            <w:vAlign w:val="bottom"/>
            <w:hideMark/>
          </w:tcPr>
          <w:p w14:paraId="5B4CF53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32672E7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Roomassaare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B6D967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2723,70</w:t>
            </w:r>
          </w:p>
        </w:tc>
        <w:tc>
          <w:tcPr>
            <w:tcW w:w="1120" w:type="dxa"/>
            <w:tcBorders>
              <w:top w:val="nil"/>
              <w:left w:val="nil"/>
              <w:bottom w:val="single" w:sz="4" w:space="0" w:color="auto"/>
              <w:right w:val="single" w:sz="4" w:space="0" w:color="auto"/>
            </w:tcBorders>
            <w:shd w:val="clear" w:color="000000" w:fill="FFFFFF"/>
            <w:noWrap/>
            <w:vAlign w:val="bottom"/>
            <w:hideMark/>
          </w:tcPr>
          <w:p w14:paraId="763339C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2469,00</w:t>
            </w:r>
          </w:p>
        </w:tc>
        <w:tc>
          <w:tcPr>
            <w:tcW w:w="1140" w:type="dxa"/>
            <w:tcBorders>
              <w:top w:val="nil"/>
              <w:left w:val="nil"/>
              <w:bottom w:val="single" w:sz="4" w:space="0" w:color="auto"/>
              <w:right w:val="single" w:sz="4" w:space="0" w:color="auto"/>
            </w:tcBorders>
            <w:shd w:val="clear" w:color="000000" w:fill="FFFFFF"/>
            <w:noWrap/>
            <w:vAlign w:val="bottom"/>
            <w:hideMark/>
          </w:tcPr>
          <w:p w14:paraId="263BCD7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1398,00</w:t>
            </w:r>
          </w:p>
        </w:tc>
        <w:tc>
          <w:tcPr>
            <w:tcW w:w="1120" w:type="dxa"/>
            <w:tcBorders>
              <w:top w:val="nil"/>
              <w:left w:val="nil"/>
              <w:bottom w:val="single" w:sz="4" w:space="0" w:color="auto"/>
              <w:right w:val="single" w:sz="4" w:space="0" w:color="auto"/>
            </w:tcBorders>
            <w:shd w:val="clear" w:color="000000" w:fill="FFFFFF"/>
            <w:noWrap/>
            <w:vAlign w:val="bottom"/>
            <w:hideMark/>
          </w:tcPr>
          <w:p w14:paraId="5F4585E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3896,50</w:t>
            </w:r>
          </w:p>
        </w:tc>
        <w:tc>
          <w:tcPr>
            <w:tcW w:w="931" w:type="dxa"/>
            <w:tcBorders>
              <w:top w:val="nil"/>
              <w:left w:val="nil"/>
              <w:bottom w:val="single" w:sz="4" w:space="0" w:color="auto"/>
              <w:right w:val="single" w:sz="4" w:space="0" w:color="auto"/>
            </w:tcBorders>
            <w:shd w:val="clear" w:color="000000" w:fill="FFFFFF"/>
            <w:noWrap/>
            <w:vAlign w:val="bottom"/>
            <w:hideMark/>
          </w:tcPr>
          <w:p w14:paraId="092FA41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4505,00</w:t>
            </w:r>
          </w:p>
        </w:tc>
        <w:tc>
          <w:tcPr>
            <w:tcW w:w="1219" w:type="dxa"/>
            <w:tcBorders>
              <w:top w:val="nil"/>
              <w:left w:val="nil"/>
              <w:bottom w:val="single" w:sz="4" w:space="0" w:color="auto"/>
              <w:right w:val="single" w:sz="4" w:space="0" w:color="auto"/>
            </w:tcBorders>
            <w:shd w:val="clear" w:color="000000" w:fill="FFFFFF"/>
            <w:noWrap/>
            <w:vAlign w:val="bottom"/>
            <w:hideMark/>
          </w:tcPr>
          <w:p w14:paraId="03B6319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1954,90</w:t>
            </w:r>
          </w:p>
        </w:tc>
        <w:tc>
          <w:tcPr>
            <w:tcW w:w="1075" w:type="dxa"/>
            <w:tcBorders>
              <w:top w:val="nil"/>
              <w:left w:val="nil"/>
              <w:bottom w:val="single" w:sz="4" w:space="0" w:color="auto"/>
              <w:right w:val="single" w:sz="4" w:space="0" w:color="auto"/>
            </w:tcBorders>
            <w:shd w:val="clear" w:color="000000" w:fill="FFFFFF"/>
            <w:noWrap/>
            <w:vAlign w:val="bottom"/>
            <w:hideMark/>
          </w:tcPr>
          <w:p w14:paraId="7F9A1D2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5483,80</w:t>
            </w:r>
          </w:p>
        </w:tc>
      </w:tr>
      <w:tr w:rsidR="002D4864" w:rsidRPr="00620F58" w14:paraId="7B465EA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48AB43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97</w:t>
            </w:r>
          </w:p>
        </w:tc>
        <w:tc>
          <w:tcPr>
            <w:tcW w:w="1845" w:type="dxa"/>
            <w:tcBorders>
              <w:top w:val="nil"/>
              <w:left w:val="nil"/>
              <w:bottom w:val="single" w:sz="4" w:space="0" w:color="auto"/>
              <w:right w:val="single" w:sz="4" w:space="0" w:color="auto"/>
            </w:tcBorders>
            <w:shd w:val="clear" w:color="000000" w:fill="FFFFFF"/>
            <w:noWrap/>
            <w:vAlign w:val="bottom"/>
            <w:hideMark/>
          </w:tcPr>
          <w:p w14:paraId="383023A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29D3B12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Roopa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940F57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892,50</w:t>
            </w:r>
          </w:p>
        </w:tc>
        <w:tc>
          <w:tcPr>
            <w:tcW w:w="1120" w:type="dxa"/>
            <w:tcBorders>
              <w:top w:val="nil"/>
              <w:left w:val="nil"/>
              <w:bottom w:val="single" w:sz="4" w:space="0" w:color="auto"/>
              <w:right w:val="single" w:sz="4" w:space="0" w:color="auto"/>
            </w:tcBorders>
            <w:shd w:val="clear" w:color="000000" w:fill="FFFFFF"/>
            <w:noWrap/>
            <w:vAlign w:val="bottom"/>
            <w:hideMark/>
          </w:tcPr>
          <w:p w14:paraId="0C14F80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910,00</w:t>
            </w:r>
          </w:p>
        </w:tc>
        <w:tc>
          <w:tcPr>
            <w:tcW w:w="1140" w:type="dxa"/>
            <w:tcBorders>
              <w:top w:val="nil"/>
              <w:left w:val="nil"/>
              <w:bottom w:val="single" w:sz="4" w:space="0" w:color="auto"/>
              <w:right w:val="single" w:sz="4" w:space="0" w:color="auto"/>
            </w:tcBorders>
            <w:shd w:val="clear" w:color="000000" w:fill="FFFFFF"/>
            <w:noWrap/>
            <w:vAlign w:val="bottom"/>
            <w:hideMark/>
          </w:tcPr>
          <w:p w14:paraId="1B7CB1D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967,00</w:t>
            </w:r>
          </w:p>
        </w:tc>
        <w:tc>
          <w:tcPr>
            <w:tcW w:w="1120" w:type="dxa"/>
            <w:tcBorders>
              <w:top w:val="nil"/>
              <w:left w:val="nil"/>
              <w:bottom w:val="single" w:sz="4" w:space="0" w:color="auto"/>
              <w:right w:val="single" w:sz="4" w:space="0" w:color="auto"/>
            </w:tcBorders>
            <w:shd w:val="clear" w:color="000000" w:fill="FFFFFF"/>
            <w:noWrap/>
            <w:vAlign w:val="bottom"/>
            <w:hideMark/>
          </w:tcPr>
          <w:p w14:paraId="19BF318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993,50</w:t>
            </w:r>
          </w:p>
        </w:tc>
        <w:tc>
          <w:tcPr>
            <w:tcW w:w="931" w:type="dxa"/>
            <w:tcBorders>
              <w:top w:val="nil"/>
              <w:left w:val="nil"/>
              <w:bottom w:val="single" w:sz="4" w:space="0" w:color="auto"/>
              <w:right w:val="single" w:sz="4" w:space="0" w:color="auto"/>
            </w:tcBorders>
            <w:shd w:val="clear" w:color="000000" w:fill="FFFFFF"/>
            <w:noWrap/>
            <w:vAlign w:val="bottom"/>
            <w:hideMark/>
          </w:tcPr>
          <w:p w14:paraId="56DC49F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870,00</w:t>
            </w:r>
          </w:p>
        </w:tc>
        <w:tc>
          <w:tcPr>
            <w:tcW w:w="1219" w:type="dxa"/>
            <w:tcBorders>
              <w:top w:val="nil"/>
              <w:left w:val="nil"/>
              <w:bottom w:val="single" w:sz="4" w:space="0" w:color="auto"/>
              <w:right w:val="single" w:sz="4" w:space="0" w:color="auto"/>
            </w:tcBorders>
            <w:shd w:val="clear" w:color="000000" w:fill="FFFFFF"/>
            <w:noWrap/>
            <w:vAlign w:val="bottom"/>
            <w:hideMark/>
          </w:tcPr>
          <w:p w14:paraId="5C0E192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320,80</w:t>
            </w:r>
          </w:p>
        </w:tc>
        <w:tc>
          <w:tcPr>
            <w:tcW w:w="1075" w:type="dxa"/>
            <w:tcBorders>
              <w:top w:val="nil"/>
              <w:left w:val="nil"/>
              <w:bottom w:val="single" w:sz="4" w:space="0" w:color="auto"/>
              <w:right w:val="single" w:sz="4" w:space="0" w:color="auto"/>
            </w:tcBorders>
            <w:shd w:val="clear" w:color="000000" w:fill="FFFFFF"/>
            <w:noWrap/>
            <w:vAlign w:val="bottom"/>
            <w:hideMark/>
          </w:tcPr>
          <w:p w14:paraId="23E74B7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479,00</w:t>
            </w:r>
          </w:p>
        </w:tc>
      </w:tr>
      <w:tr w:rsidR="002D4864" w:rsidRPr="00620F58" w14:paraId="5E094EFB"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5AA31B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98</w:t>
            </w:r>
          </w:p>
        </w:tc>
        <w:tc>
          <w:tcPr>
            <w:tcW w:w="1845" w:type="dxa"/>
            <w:tcBorders>
              <w:top w:val="nil"/>
              <w:left w:val="nil"/>
              <w:bottom w:val="single" w:sz="4" w:space="0" w:color="auto"/>
              <w:right w:val="single" w:sz="4" w:space="0" w:color="auto"/>
            </w:tcBorders>
            <w:shd w:val="clear" w:color="000000" w:fill="FFFFFF"/>
            <w:noWrap/>
            <w:vAlign w:val="bottom"/>
            <w:hideMark/>
          </w:tcPr>
          <w:p w14:paraId="7D43104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10D44DD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Ruhve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3BBBB14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1930,00</w:t>
            </w:r>
          </w:p>
        </w:tc>
        <w:tc>
          <w:tcPr>
            <w:tcW w:w="1120" w:type="dxa"/>
            <w:tcBorders>
              <w:top w:val="nil"/>
              <w:left w:val="nil"/>
              <w:bottom w:val="single" w:sz="4" w:space="0" w:color="auto"/>
              <w:right w:val="single" w:sz="4" w:space="0" w:color="auto"/>
            </w:tcBorders>
            <w:shd w:val="clear" w:color="000000" w:fill="FFFFFF"/>
            <w:noWrap/>
            <w:vAlign w:val="bottom"/>
            <w:hideMark/>
          </w:tcPr>
          <w:p w14:paraId="2A8D187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2288,50</w:t>
            </w:r>
          </w:p>
        </w:tc>
        <w:tc>
          <w:tcPr>
            <w:tcW w:w="1140" w:type="dxa"/>
            <w:tcBorders>
              <w:top w:val="nil"/>
              <w:left w:val="nil"/>
              <w:bottom w:val="single" w:sz="4" w:space="0" w:color="auto"/>
              <w:right w:val="single" w:sz="4" w:space="0" w:color="auto"/>
            </w:tcBorders>
            <w:shd w:val="clear" w:color="000000" w:fill="FFFFFF"/>
            <w:noWrap/>
            <w:vAlign w:val="bottom"/>
            <w:hideMark/>
          </w:tcPr>
          <w:p w14:paraId="01F1142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4847,00</w:t>
            </w:r>
          </w:p>
        </w:tc>
        <w:tc>
          <w:tcPr>
            <w:tcW w:w="1120" w:type="dxa"/>
            <w:tcBorders>
              <w:top w:val="nil"/>
              <w:left w:val="nil"/>
              <w:bottom w:val="single" w:sz="4" w:space="0" w:color="auto"/>
              <w:right w:val="single" w:sz="4" w:space="0" w:color="auto"/>
            </w:tcBorders>
            <w:shd w:val="clear" w:color="000000" w:fill="FFFFFF"/>
            <w:noWrap/>
            <w:vAlign w:val="bottom"/>
            <w:hideMark/>
          </w:tcPr>
          <w:p w14:paraId="189F047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3678,50</w:t>
            </w:r>
          </w:p>
        </w:tc>
        <w:tc>
          <w:tcPr>
            <w:tcW w:w="931" w:type="dxa"/>
            <w:tcBorders>
              <w:top w:val="nil"/>
              <w:left w:val="nil"/>
              <w:bottom w:val="single" w:sz="4" w:space="0" w:color="auto"/>
              <w:right w:val="single" w:sz="4" w:space="0" w:color="auto"/>
            </w:tcBorders>
            <w:shd w:val="clear" w:color="000000" w:fill="FFFFFF"/>
            <w:noWrap/>
            <w:vAlign w:val="bottom"/>
            <w:hideMark/>
          </w:tcPr>
          <w:p w14:paraId="277B437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3862,00</w:t>
            </w:r>
          </w:p>
        </w:tc>
        <w:tc>
          <w:tcPr>
            <w:tcW w:w="1219" w:type="dxa"/>
            <w:tcBorders>
              <w:top w:val="nil"/>
              <w:left w:val="nil"/>
              <w:bottom w:val="single" w:sz="4" w:space="0" w:color="auto"/>
              <w:right w:val="single" w:sz="4" w:space="0" w:color="auto"/>
            </w:tcBorders>
            <w:shd w:val="clear" w:color="000000" w:fill="FFFFFF"/>
            <w:noWrap/>
            <w:vAlign w:val="bottom"/>
            <w:hideMark/>
          </w:tcPr>
          <w:p w14:paraId="3ED71A5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2687,50</w:t>
            </w:r>
          </w:p>
        </w:tc>
        <w:tc>
          <w:tcPr>
            <w:tcW w:w="1075" w:type="dxa"/>
            <w:tcBorders>
              <w:top w:val="nil"/>
              <w:left w:val="nil"/>
              <w:bottom w:val="single" w:sz="4" w:space="0" w:color="auto"/>
              <w:right w:val="single" w:sz="4" w:space="0" w:color="auto"/>
            </w:tcBorders>
            <w:shd w:val="clear" w:color="000000" w:fill="FFFFFF"/>
            <w:noWrap/>
            <w:vAlign w:val="bottom"/>
            <w:hideMark/>
          </w:tcPr>
          <w:p w14:paraId="5D1A891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2552,70</w:t>
            </w:r>
          </w:p>
        </w:tc>
      </w:tr>
      <w:tr w:rsidR="002D4864" w:rsidRPr="00620F58" w14:paraId="528D4EF5"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627CC0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99</w:t>
            </w:r>
          </w:p>
        </w:tc>
        <w:tc>
          <w:tcPr>
            <w:tcW w:w="1845" w:type="dxa"/>
            <w:tcBorders>
              <w:top w:val="nil"/>
              <w:left w:val="nil"/>
              <w:bottom w:val="single" w:sz="4" w:space="0" w:color="auto"/>
              <w:right w:val="single" w:sz="4" w:space="0" w:color="auto"/>
            </w:tcBorders>
            <w:shd w:val="clear" w:color="000000" w:fill="FFFFFF"/>
            <w:noWrap/>
            <w:vAlign w:val="bottom"/>
            <w:hideMark/>
          </w:tcPr>
          <w:p w14:paraId="5FCBD28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2958940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Saareküla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4632DA1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2980,00</w:t>
            </w:r>
          </w:p>
        </w:tc>
        <w:tc>
          <w:tcPr>
            <w:tcW w:w="1120" w:type="dxa"/>
            <w:tcBorders>
              <w:top w:val="nil"/>
              <w:left w:val="nil"/>
              <w:bottom w:val="single" w:sz="4" w:space="0" w:color="auto"/>
              <w:right w:val="single" w:sz="4" w:space="0" w:color="auto"/>
            </w:tcBorders>
            <w:shd w:val="clear" w:color="000000" w:fill="FFFFFF"/>
            <w:noWrap/>
            <w:vAlign w:val="bottom"/>
            <w:hideMark/>
          </w:tcPr>
          <w:p w14:paraId="27E52AC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2077,90</w:t>
            </w:r>
          </w:p>
        </w:tc>
        <w:tc>
          <w:tcPr>
            <w:tcW w:w="1140" w:type="dxa"/>
            <w:tcBorders>
              <w:top w:val="nil"/>
              <w:left w:val="nil"/>
              <w:bottom w:val="single" w:sz="4" w:space="0" w:color="auto"/>
              <w:right w:val="single" w:sz="4" w:space="0" w:color="auto"/>
            </w:tcBorders>
            <w:shd w:val="clear" w:color="000000" w:fill="FFFFFF"/>
            <w:noWrap/>
            <w:vAlign w:val="bottom"/>
            <w:hideMark/>
          </w:tcPr>
          <w:p w14:paraId="1DA7C5C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3014,00</w:t>
            </w:r>
          </w:p>
        </w:tc>
        <w:tc>
          <w:tcPr>
            <w:tcW w:w="1120" w:type="dxa"/>
            <w:tcBorders>
              <w:top w:val="nil"/>
              <w:left w:val="nil"/>
              <w:bottom w:val="single" w:sz="4" w:space="0" w:color="auto"/>
              <w:right w:val="single" w:sz="4" w:space="0" w:color="auto"/>
            </w:tcBorders>
            <w:shd w:val="clear" w:color="000000" w:fill="FFFFFF"/>
            <w:noWrap/>
            <w:vAlign w:val="bottom"/>
            <w:hideMark/>
          </w:tcPr>
          <w:p w14:paraId="485B2BD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5462,00</w:t>
            </w:r>
          </w:p>
        </w:tc>
        <w:tc>
          <w:tcPr>
            <w:tcW w:w="931" w:type="dxa"/>
            <w:tcBorders>
              <w:top w:val="nil"/>
              <w:left w:val="nil"/>
              <w:bottom w:val="single" w:sz="4" w:space="0" w:color="auto"/>
              <w:right w:val="single" w:sz="4" w:space="0" w:color="auto"/>
            </w:tcBorders>
            <w:shd w:val="clear" w:color="000000" w:fill="FFFFFF"/>
            <w:noWrap/>
            <w:vAlign w:val="bottom"/>
            <w:hideMark/>
          </w:tcPr>
          <w:p w14:paraId="6CAD10E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3581,00</w:t>
            </w:r>
          </w:p>
        </w:tc>
        <w:tc>
          <w:tcPr>
            <w:tcW w:w="1219" w:type="dxa"/>
            <w:tcBorders>
              <w:top w:val="nil"/>
              <w:left w:val="nil"/>
              <w:bottom w:val="single" w:sz="4" w:space="0" w:color="auto"/>
              <w:right w:val="single" w:sz="4" w:space="0" w:color="auto"/>
            </w:tcBorders>
            <w:shd w:val="clear" w:color="000000" w:fill="FFFFFF"/>
            <w:noWrap/>
            <w:vAlign w:val="bottom"/>
            <w:hideMark/>
          </w:tcPr>
          <w:p w14:paraId="466E19D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3473,90</w:t>
            </w:r>
          </w:p>
        </w:tc>
        <w:tc>
          <w:tcPr>
            <w:tcW w:w="1075" w:type="dxa"/>
            <w:tcBorders>
              <w:top w:val="nil"/>
              <w:left w:val="nil"/>
              <w:bottom w:val="single" w:sz="4" w:space="0" w:color="auto"/>
              <w:right w:val="single" w:sz="4" w:space="0" w:color="auto"/>
            </w:tcBorders>
            <w:shd w:val="clear" w:color="000000" w:fill="FFFFFF"/>
            <w:noWrap/>
            <w:vAlign w:val="bottom"/>
            <w:hideMark/>
          </w:tcPr>
          <w:p w14:paraId="08E19E9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5049,00</w:t>
            </w:r>
          </w:p>
        </w:tc>
      </w:tr>
      <w:tr w:rsidR="002D4864" w:rsidRPr="00620F58" w14:paraId="21900B16"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21AF9E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w:t>
            </w:r>
          </w:p>
        </w:tc>
        <w:tc>
          <w:tcPr>
            <w:tcW w:w="1845" w:type="dxa"/>
            <w:tcBorders>
              <w:top w:val="nil"/>
              <w:left w:val="nil"/>
              <w:bottom w:val="single" w:sz="4" w:space="0" w:color="auto"/>
              <w:right w:val="single" w:sz="4" w:space="0" w:color="auto"/>
            </w:tcBorders>
            <w:shd w:val="clear" w:color="000000" w:fill="FFFFFF"/>
            <w:noWrap/>
            <w:vAlign w:val="bottom"/>
            <w:hideMark/>
          </w:tcPr>
          <w:p w14:paraId="2FF0DD4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466654B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5ECC115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628,00</w:t>
            </w:r>
          </w:p>
        </w:tc>
        <w:tc>
          <w:tcPr>
            <w:tcW w:w="1120" w:type="dxa"/>
            <w:tcBorders>
              <w:top w:val="nil"/>
              <w:left w:val="nil"/>
              <w:bottom w:val="single" w:sz="4" w:space="0" w:color="auto"/>
              <w:right w:val="single" w:sz="4" w:space="0" w:color="auto"/>
            </w:tcBorders>
            <w:shd w:val="clear" w:color="000000" w:fill="FFFFFF"/>
            <w:noWrap/>
            <w:vAlign w:val="bottom"/>
            <w:hideMark/>
          </w:tcPr>
          <w:p w14:paraId="55C15CC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355,10</w:t>
            </w:r>
          </w:p>
        </w:tc>
        <w:tc>
          <w:tcPr>
            <w:tcW w:w="1140" w:type="dxa"/>
            <w:tcBorders>
              <w:top w:val="nil"/>
              <w:left w:val="nil"/>
              <w:bottom w:val="single" w:sz="4" w:space="0" w:color="auto"/>
              <w:right w:val="single" w:sz="4" w:space="0" w:color="auto"/>
            </w:tcBorders>
            <w:shd w:val="clear" w:color="000000" w:fill="FFFFFF"/>
            <w:noWrap/>
            <w:vAlign w:val="bottom"/>
            <w:hideMark/>
          </w:tcPr>
          <w:p w14:paraId="7610AD3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978,00</w:t>
            </w:r>
          </w:p>
        </w:tc>
        <w:tc>
          <w:tcPr>
            <w:tcW w:w="1120" w:type="dxa"/>
            <w:tcBorders>
              <w:top w:val="nil"/>
              <w:left w:val="nil"/>
              <w:bottom w:val="single" w:sz="4" w:space="0" w:color="auto"/>
              <w:right w:val="single" w:sz="4" w:space="0" w:color="auto"/>
            </w:tcBorders>
            <w:shd w:val="clear" w:color="000000" w:fill="FFFFFF"/>
            <w:noWrap/>
            <w:vAlign w:val="bottom"/>
            <w:hideMark/>
          </w:tcPr>
          <w:p w14:paraId="78D1BA9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10,00</w:t>
            </w:r>
          </w:p>
        </w:tc>
        <w:tc>
          <w:tcPr>
            <w:tcW w:w="931" w:type="dxa"/>
            <w:tcBorders>
              <w:top w:val="nil"/>
              <w:left w:val="nil"/>
              <w:bottom w:val="single" w:sz="4" w:space="0" w:color="auto"/>
              <w:right w:val="single" w:sz="4" w:space="0" w:color="auto"/>
            </w:tcBorders>
            <w:shd w:val="clear" w:color="000000" w:fill="FFFFFF"/>
            <w:noWrap/>
            <w:vAlign w:val="bottom"/>
            <w:hideMark/>
          </w:tcPr>
          <w:p w14:paraId="20EF57A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160,00</w:t>
            </w:r>
          </w:p>
        </w:tc>
        <w:tc>
          <w:tcPr>
            <w:tcW w:w="1219" w:type="dxa"/>
            <w:tcBorders>
              <w:top w:val="nil"/>
              <w:left w:val="nil"/>
              <w:bottom w:val="single" w:sz="4" w:space="0" w:color="auto"/>
              <w:right w:val="single" w:sz="4" w:space="0" w:color="auto"/>
            </w:tcBorders>
            <w:shd w:val="clear" w:color="000000" w:fill="FFFFFF"/>
            <w:noWrap/>
            <w:vAlign w:val="bottom"/>
            <w:hideMark/>
          </w:tcPr>
          <w:p w14:paraId="190312D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264,50</w:t>
            </w:r>
          </w:p>
        </w:tc>
        <w:tc>
          <w:tcPr>
            <w:tcW w:w="1075" w:type="dxa"/>
            <w:tcBorders>
              <w:top w:val="nil"/>
              <w:left w:val="nil"/>
              <w:bottom w:val="single" w:sz="4" w:space="0" w:color="auto"/>
              <w:right w:val="single" w:sz="4" w:space="0" w:color="auto"/>
            </w:tcBorders>
            <w:shd w:val="clear" w:color="000000" w:fill="FFFFFF"/>
            <w:noWrap/>
            <w:vAlign w:val="bottom"/>
            <w:hideMark/>
          </w:tcPr>
          <w:p w14:paraId="25F776A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631,50</w:t>
            </w:r>
          </w:p>
        </w:tc>
      </w:tr>
      <w:tr w:rsidR="002D4864" w:rsidRPr="00620F58" w14:paraId="076B046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E060EB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101</w:t>
            </w:r>
          </w:p>
        </w:tc>
        <w:tc>
          <w:tcPr>
            <w:tcW w:w="1845" w:type="dxa"/>
            <w:tcBorders>
              <w:top w:val="nil"/>
              <w:left w:val="nil"/>
              <w:bottom w:val="single" w:sz="4" w:space="0" w:color="auto"/>
              <w:right w:val="single" w:sz="4" w:space="0" w:color="auto"/>
            </w:tcBorders>
            <w:shd w:val="clear" w:color="000000" w:fill="FFFFFF"/>
            <w:noWrap/>
            <w:vAlign w:val="bottom"/>
            <w:hideMark/>
          </w:tcPr>
          <w:p w14:paraId="396FD73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129FB35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Salme Jõesadam</w:t>
            </w:r>
          </w:p>
        </w:tc>
        <w:tc>
          <w:tcPr>
            <w:tcW w:w="1075" w:type="dxa"/>
            <w:tcBorders>
              <w:top w:val="nil"/>
              <w:left w:val="nil"/>
              <w:bottom w:val="single" w:sz="4" w:space="0" w:color="auto"/>
              <w:right w:val="single" w:sz="4" w:space="0" w:color="auto"/>
            </w:tcBorders>
            <w:shd w:val="clear" w:color="000000" w:fill="FFFFFF"/>
            <w:noWrap/>
            <w:vAlign w:val="bottom"/>
            <w:hideMark/>
          </w:tcPr>
          <w:p w14:paraId="13B0EFF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1241,00</w:t>
            </w:r>
          </w:p>
        </w:tc>
        <w:tc>
          <w:tcPr>
            <w:tcW w:w="1120" w:type="dxa"/>
            <w:tcBorders>
              <w:top w:val="nil"/>
              <w:left w:val="nil"/>
              <w:bottom w:val="single" w:sz="4" w:space="0" w:color="auto"/>
              <w:right w:val="single" w:sz="4" w:space="0" w:color="auto"/>
            </w:tcBorders>
            <w:shd w:val="clear" w:color="000000" w:fill="FFFFFF"/>
            <w:noWrap/>
            <w:vAlign w:val="bottom"/>
            <w:hideMark/>
          </w:tcPr>
          <w:p w14:paraId="05F1E5B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2013,50</w:t>
            </w:r>
          </w:p>
        </w:tc>
        <w:tc>
          <w:tcPr>
            <w:tcW w:w="1140" w:type="dxa"/>
            <w:tcBorders>
              <w:top w:val="nil"/>
              <w:left w:val="nil"/>
              <w:bottom w:val="single" w:sz="4" w:space="0" w:color="auto"/>
              <w:right w:val="single" w:sz="4" w:space="0" w:color="auto"/>
            </w:tcBorders>
            <w:shd w:val="clear" w:color="000000" w:fill="FFFFFF"/>
            <w:noWrap/>
            <w:vAlign w:val="bottom"/>
            <w:hideMark/>
          </w:tcPr>
          <w:p w14:paraId="2C0760C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4576,20</w:t>
            </w:r>
          </w:p>
        </w:tc>
        <w:tc>
          <w:tcPr>
            <w:tcW w:w="1120" w:type="dxa"/>
            <w:tcBorders>
              <w:top w:val="nil"/>
              <w:left w:val="nil"/>
              <w:bottom w:val="single" w:sz="4" w:space="0" w:color="auto"/>
              <w:right w:val="single" w:sz="4" w:space="0" w:color="auto"/>
            </w:tcBorders>
            <w:shd w:val="clear" w:color="000000" w:fill="FFFFFF"/>
            <w:noWrap/>
            <w:vAlign w:val="bottom"/>
            <w:hideMark/>
          </w:tcPr>
          <w:p w14:paraId="3219437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2961,00</w:t>
            </w:r>
          </w:p>
        </w:tc>
        <w:tc>
          <w:tcPr>
            <w:tcW w:w="931" w:type="dxa"/>
            <w:tcBorders>
              <w:top w:val="nil"/>
              <w:left w:val="nil"/>
              <w:bottom w:val="single" w:sz="4" w:space="0" w:color="auto"/>
              <w:right w:val="single" w:sz="4" w:space="0" w:color="auto"/>
            </w:tcBorders>
            <w:shd w:val="clear" w:color="000000" w:fill="FFFFFF"/>
            <w:noWrap/>
            <w:vAlign w:val="bottom"/>
            <w:hideMark/>
          </w:tcPr>
          <w:p w14:paraId="0E3EA99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2586,00</w:t>
            </w:r>
          </w:p>
        </w:tc>
        <w:tc>
          <w:tcPr>
            <w:tcW w:w="1219" w:type="dxa"/>
            <w:tcBorders>
              <w:top w:val="nil"/>
              <w:left w:val="nil"/>
              <w:bottom w:val="single" w:sz="4" w:space="0" w:color="auto"/>
              <w:right w:val="single" w:sz="4" w:space="0" w:color="auto"/>
            </w:tcBorders>
            <w:shd w:val="clear" w:color="000000" w:fill="FFFFFF"/>
            <w:noWrap/>
            <w:vAlign w:val="bottom"/>
            <w:hideMark/>
          </w:tcPr>
          <w:p w14:paraId="14FBD80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4357,00</w:t>
            </w:r>
          </w:p>
        </w:tc>
        <w:tc>
          <w:tcPr>
            <w:tcW w:w="1075" w:type="dxa"/>
            <w:tcBorders>
              <w:top w:val="nil"/>
              <w:left w:val="nil"/>
              <w:bottom w:val="single" w:sz="4" w:space="0" w:color="auto"/>
              <w:right w:val="single" w:sz="4" w:space="0" w:color="auto"/>
            </w:tcBorders>
            <w:shd w:val="clear" w:color="000000" w:fill="FFFFFF"/>
            <w:noWrap/>
            <w:vAlign w:val="bottom"/>
            <w:hideMark/>
          </w:tcPr>
          <w:p w14:paraId="1C9B287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4774,90</w:t>
            </w:r>
          </w:p>
        </w:tc>
      </w:tr>
      <w:tr w:rsidR="002D4864" w:rsidRPr="00620F58" w14:paraId="0E17EF9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F94308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102</w:t>
            </w:r>
          </w:p>
        </w:tc>
        <w:tc>
          <w:tcPr>
            <w:tcW w:w="1845" w:type="dxa"/>
            <w:tcBorders>
              <w:top w:val="nil"/>
              <w:left w:val="nil"/>
              <w:bottom w:val="single" w:sz="4" w:space="0" w:color="auto"/>
              <w:right w:val="single" w:sz="4" w:space="0" w:color="auto"/>
            </w:tcBorders>
            <w:shd w:val="clear" w:color="000000" w:fill="FFFFFF"/>
            <w:noWrap/>
            <w:vAlign w:val="bottom"/>
            <w:hideMark/>
          </w:tcPr>
          <w:p w14:paraId="6317118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0708110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Sandla</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5B82211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6583,50</w:t>
            </w:r>
          </w:p>
        </w:tc>
        <w:tc>
          <w:tcPr>
            <w:tcW w:w="1120" w:type="dxa"/>
            <w:tcBorders>
              <w:top w:val="nil"/>
              <w:left w:val="nil"/>
              <w:bottom w:val="single" w:sz="4" w:space="0" w:color="auto"/>
              <w:right w:val="single" w:sz="4" w:space="0" w:color="auto"/>
            </w:tcBorders>
            <w:shd w:val="clear" w:color="000000" w:fill="FFFFFF"/>
            <w:noWrap/>
            <w:vAlign w:val="bottom"/>
            <w:hideMark/>
          </w:tcPr>
          <w:p w14:paraId="2A3C709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9310,00</w:t>
            </w:r>
          </w:p>
        </w:tc>
        <w:tc>
          <w:tcPr>
            <w:tcW w:w="1140" w:type="dxa"/>
            <w:tcBorders>
              <w:top w:val="nil"/>
              <w:left w:val="nil"/>
              <w:bottom w:val="single" w:sz="4" w:space="0" w:color="auto"/>
              <w:right w:val="single" w:sz="4" w:space="0" w:color="auto"/>
            </w:tcBorders>
            <w:shd w:val="clear" w:color="000000" w:fill="FFFFFF"/>
            <w:noWrap/>
            <w:vAlign w:val="bottom"/>
            <w:hideMark/>
          </w:tcPr>
          <w:p w14:paraId="6BB8D0C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24016,20</w:t>
            </w:r>
          </w:p>
        </w:tc>
        <w:tc>
          <w:tcPr>
            <w:tcW w:w="1120" w:type="dxa"/>
            <w:tcBorders>
              <w:top w:val="nil"/>
              <w:left w:val="nil"/>
              <w:bottom w:val="single" w:sz="4" w:space="0" w:color="auto"/>
              <w:right w:val="single" w:sz="4" w:space="0" w:color="auto"/>
            </w:tcBorders>
            <w:shd w:val="clear" w:color="000000" w:fill="FFFFFF"/>
            <w:noWrap/>
            <w:vAlign w:val="bottom"/>
            <w:hideMark/>
          </w:tcPr>
          <w:p w14:paraId="2C2F819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13793,50</w:t>
            </w:r>
          </w:p>
        </w:tc>
        <w:tc>
          <w:tcPr>
            <w:tcW w:w="931" w:type="dxa"/>
            <w:tcBorders>
              <w:top w:val="nil"/>
              <w:left w:val="nil"/>
              <w:bottom w:val="single" w:sz="4" w:space="0" w:color="auto"/>
              <w:right w:val="single" w:sz="4" w:space="0" w:color="auto"/>
            </w:tcBorders>
            <w:shd w:val="clear" w:color="000000" w:fill="FFFFFF"/>
            <w:noWrap/>
            <w:vAlign w:val="bottom"/>
            <w:hideMark/>
          </w:tcPr>
          <w:p w14:paraId="358C844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9945,00</w:t>
            </w:r>
          </w:p>
        </w:tc>
        <w:tc>
          <w:tcPr>
            <w:tcW w:w="1219" w:type="dxa"/>
            <w:tcBorders>
              <w:top w:val="nil"/>
              <w:left w:val="nil"/>
              <w:bottom w:val="single" w:sz="4" w:space="0" w:color="auto"/>
              <w:right w:val="single" w:sz="4" w:space="0" w:color="auto"/>
            </w:tcBorders>
            <w:shd w:val="clear" w:color="000000" w:fill="FFFFFF"/>
            <w:noWrap/>
            <w:vAlign w:val="bottom"/>
            <w:hideMark/>
          </w:tcPr>
          <w:p w14:paraId="6ABC927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8192,85</w:t>
            </w:r>
          </w:p>
        </w:tc>
        <w:tc>
          <w:tcPr>
            <w:tcW w:w="1075" w:type="dxa"/>
            <w:tcBorders>
              <w:top w:val="nil"/>
              <w:left w:val="nil"/>
              <w:bottom w:val="single" w:sz="4" w:space="0" w:color="auto"/>
              <w:right w:val="single" w:sz="4" w:space="0" w:color="auto"/>
            </w:tcBorders>
            <w:shd w:val="clear" w:color="000000" w:fill="FFFFFF"/>
            <w:noWrap/>
            <w:vAlign w:val="bottom"/>
            <w:hideMark/>
          </w:tcPr>
          <w:p w14:paraId="5F4C52F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6015,50</w:t>
            </w:r>
          </w:p>
        </w:tc>
      </w:tr>
      <w:tr w:rsidR="002D4864" w:rsidRPr="00620F58" w14:paraId="6385864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74EC16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103</w:t>
            </w:r>
          </w:p>
        </w:tc>
        <w:tc>
          <w:tcPr>
            <w:tcW w:w="1845" w:type="dxa"/>
            <w:tcBorders>
              <w:top w:val="nil"/>
              <w:left w:val="nil"/>
              <w:bottom w:val="single" w:sz="4" w:space="0" w:color="auto"/>
              <w:right w:val="single" w:sz="4" w:space="0" w:color="auto"/>
            </w:tcBorders>
            <w:shd w:val="clear" w:color="000000" w:fill="FFFFFF"/>
            <w:noWrap/>
            <w:vAlign w:val="bottom"/>
            <w:hideMark/>
          </w:tcPr>
          <w:p w14:paraId="335F696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E5CA44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Seebilõuka</w:t>
            </w:r>
          </w:p>
        </w:tc>
        <w:tc>
          <w:tcPr>
            <w:tcW w:w="1075" w:type="dxa"/>
            <w:tcBorders>
              <w:top w:val="nil"/>
              <w:left w:val="nil"/>
              <w:bottom w:val="single" w:sz="4" w:space="0" w:color="auto"/>
              <w:right w:val="single" w:sz="4" w:space="0" w:color="auto"/>
            </w:tcBorders>
            <w:shd w:val="clear" w:color="000000" w:fill="FFFFFF"/>
            <w:noWrap/>
            <w:vAlign w:val="bottom"/>
            <w:hideMark/>
          </w:tcPr>
          <w:p w14:paraId="7318547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3140,40</w:t>
            </w:r>
          </w:p>
        </w:tc>
        <w:tc>
          <w:tcPr>
            <w:tcW w:w="1120" w:type="dxa"/>
            <w:tcBorders>
              <w:top w:val="nil"/>
              <w:left w:val="nil"/>
              <w:bottom w:val="single" w:sz="4" w:space="0" w:color="auto"/>
              <w:right w:val="single" w:sz="4" w:space="0" w:color="auto"/>
            </w:tcBorders>
            <w:shd w:val="clear" w:color="000000" w:fill="FFFFFF"/>
            <w:noWrap/>
            <w:vAlign w:val="bottom"/>
            <w:hideMark/>
          </w:tcPr>
          <w:p w14:paraId="076E784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1870,90</w:t>
            </w:r>
          </w:p>
        </w:tc>
        <w:tc>
          <w:tcPr>
            <w:tcW w:w="1140" w:type="dxa"/>
            <w:tcBorders>
              <w:top w:val="nil"/>
              <w:left w:val="nil"/>
              <w:bottom w:val="single" w:sz="4" w:space="0" w:color="auto"/>
              <w:right w:val="single" w:sz="4" w:space="0" w:color="auto"/>
            </w:tcBorders>
            <w:shd w:val="clear" w:color="000000" w:fill="FFFFFF"/>
            <w:noWrap/>
            <w:vAlign w:val="bottom"/>
            <w:hideMark/>
          </w:tcPr>
          <w:p w14:paraId="34085A0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3F71FD5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15,00</w:t>
            </w:r>
          </w:p>
        </w:tc>
        <w:tc>
          <w:tcPr>
            <w:tcW w:w="931" w:type="dxa"/>
            <w:tcBorders>
              <w:top w:val="nil"/>
              <w:left w:val="nil"/>
              <w:bottom w:val="single" w:sz="4" w:space="0" w:color="auto"/>
              <w:right w:val="single" w:sz="4" w:space="0" w:color="auto"/>
            </w:tcBorders>
            <w:shd w:val="clear" w:color="000000" w:fill="FFFFFF"/>
            <w:noWrap/>
            <w:vAlign w:val="bottom"/>
            <w:hideMark/>
          </w:tcPr>
          <w:p w14:paraId="131164D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1126,00</w:t>
            </w:r>
          </w:p>
        </w:tc>
        <w:tc>
          <w:tcPr>
            <w:tcW w:w="1219" w:type="dxa"/>
            <w:tcBorders>
              <w:top w:val="nil"/>
              <w:left w:val="nil"/>
              <w:bottom w:val="single" w:sz="4" w:space="0" w:color="auto"/>
              <w:right w:val="single" w:sz="4" w:space="0" w:color="auto"/>
            </w:tcBorders>
            <w:shd w:val="clear" w:color="000000" w:fill="FFFFFF"/>
            <w:noWrap/>
            <w:vAlign w:val="bottom"/>
            <w:hideMark/>
          </w:tcPr>
          <w:p w14:paraId="1D56BC0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671,00</w:t>
            </w:r>
          </w:p>
        </w:tc>
        <w:tc>
          <w:tcPr>
            <w:tcW w:w="1075" w:type="dxa"/>
            <w:tcBorders>
              <w:top w:val="nil"/>
              <w:left w:val="nil"/>
              <w:bottom w:val="single" w:sz="4" w:space="0" w:color="auto"/>
              <w:right w:val="single" w:sz="4" w:space="0" w:color="auto"/>
            </w:tcBorders>
            <w:shd w:val="clear" w:color="000000" w:fill="FFFFFF"/>
            <w:noWrap/>
            <w:vAlign w:val="bottom"/>
            <w:hideMark/>
          </w:tcPr>
          <w:p w14:paraId="237891F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443,00</w:t>
            </w:r>
          </w:p>
        </w:tc>
      </w:tr>
      <w:tr w:rsidR="002D4864" w:rsidRPr="00620F58" w14:paraId="3E1EE5C9"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47C424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104</w:t>
            </w:r>
          </w:p>
        </w:tc>
        <w:tc>
          <w:tcPr>
            <w:tcW w:w="1845" w:type="dxa"/>
            <w:tcBorders>
              <w:top w:val="nil"/>
              <w:left w:val="nil"/>
              <w:bottom w:val="single" w:sz="4" w:space="0" w:color="auto"/>
              <w:right w:val="single" w:sz="4" w:space="0" w:color="auto"/>
            </w:tcBorders>
            <w:shd w:val="clear" w:color="000000" w:fill="FFFFFF"/>
            <w:noWrap/>
            <w:vAlign w:val="bottom"/>
            <w:hideMark/>
          </w:tcPr>
          <w:p w14:paraId="7E088A3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28AC598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Siia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76F40E6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25978,80</w:t>
            </w:r>
          </w:p>
        </w:tc>
        <w:tc>
          <w:tcPr>
            <w:tcW w:w="1120" w:type="dxa"/>
            <w:tcBorders>
              <w:top w:val="nil"/>
              <w:left w:val="nil"/>
              <w:bottom w:val="single" w:sz="4" w:space="0" w:color="auto"/>
              <w:right w:val="single" w:sz="4" w:space="0" w:color="auto"/>
            </w:tcBorders>
            <w:shd w:val="clear" w:color="000000" w:fill="FFFFFF"/>
            <w:noWrap/>
            <w:vAlign w:val="bottom"/>
            <w:hideMark/>
          </w:tcPr>
          <w:p w14:paraId="0BDA38C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429,20</w:t>
            </w:r>
          </w:p>
        </w:tc>
        <w:tc>
          <w:tcPr>
            <w:tcW w:w="1140" w:type="dxa"/>
            <w:tcBorders>
              <w:top w:val="nil"/>
              <w:left w:val="nil"/>
              <w:bottom w:val="single" w:sz="4" w:space="0" w:color="auto"/>
              <w:right w:val="single" w:sz="4" w:space="0" w:color="auto"/>
            </w:tcBorders>
            <w:shd w:val="clear" w:color="000000" w:fill="FFFFFF"/>
            <w:noWrap/>
            <w:vAlign w:val="bottom"/>
            <w:hideMark/>
          </w:tcPr>
          <w:p w14:paraId="4DC0E15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8643,90</w:t>
            </w:r>
          </w:p>
        </w:tc>
        <w:tc>
          <w:tcPr>
            <w:tcW w:w="1120" w:type="dxa"/>
            <w:tcBorders>
              <w:top w:val="nil"/>
              <w:left w:val="nil"/>
              <w:bottom w:val="single" w:sz="4" w:space="0" w:color="auto"/>
              <w:right w:val="single" w:sz="4" w:space="0" w:color="auto"/>
            </w:tcBorders>
            <w:shd w:val="clear" w:color="000000" w:fill="FFFFFF"/>
            <w:noWrap/>
            <w:vAlign w:val="bottom"/>
            <w:hideMark/>
          </w:tcPr>
          <w:p w14:paraId="7B929A0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9432,90</w:t>
            </w:r>
          </w:p>
        </w:tc>
        <w:tc>
          <w:tcPr>
            <w:tcW w:w="931" w:type="dxa"/>
            <w:tcBorders>
              <w:top w:val="nil"/>
              <w:left w:val="nil"/>
              <w:bottom w:val="single" w:sz="4" w:space="0" w:color="auto"/>
              <w:right w:val="single" w:sz="4" w:space="0" w:color="auto"/>
            </w:tcBorders>
            <w:shd w:val="clear" w:color="000000" w:fill="FFFFFF"/>
            <w:noWrap/>
            <w:vAlign w:val="bottom"/>
            <w:hideMark/>
          </w:tcPr>
          <w:p w14:paraId="422BF84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25973,00</w:t>
            </w:r>
          </w:p>
        </w:tc>
        <w:tc>
          <w:tcPr>
            <w:tcW w:w="1219" w:type="dxa"/>
            <w:tcBorders>
              <w:top w:val="nil"/>
              <w:left w:val="nil"/>
              <w:bottom w:val="single" w:sz="4" w:space="0" w:color="auto"/>
              <w:right w:val="single" w:sz="4" w:space="0" w:color="auto"/>
            </w:tcBorders>
            <w:shd w:val="clear" w:color="000000" w:fill="FFFFFF"/>
            <w:noWrap/>
            <w:vAlign w:val="bottom"/>
            <w:hideMark/>
          </w:tcPr>
          <w:p w14:paraId="2BE1824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17057,40</w:t>
            </w:r>
          </w:p>
        </w:tc>
        <w:tc>
          <w:tcPr>
            <w:tcW w:w="1075" w:type="dxa"/>
            <w:tcBorders>
              <w:top w:val="nil"/>
              <w:left w:val="nil"/>
              <w:bottom w:val="single" w:sz="4" w:space="0" w:color="auto"/>
              <w:right w:val="single" w:sz="4" w:space="0" w:color="auto"/>
            </w:tcBorders>
            <w:shd w:val="clear" w:color="000000" w:fill="FFFFFF"/>
            <w:noWrap/>
            <w:vAlign w:val="bottom"/>
            <w:hideMark/>
          </w:tcPr>
          <w:p w14:paraId="054EE11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12906,10</w:t>
            </w:r>
          </w:p>
        </w:tc>
      </w:tr>
      <w:tr w:rsidR="002D4864" w:rsidRPr="00620F58" w14:paraId="1F59BAFD"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262181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105</w:t>
            </w:r>
          </w:p>
        </w:tc>
        <w:tc>
          <w:tcPr>
            <w:tcW w:w="1845" w:type="dxa"/>
            <w:tcBorders>
              <w:top w:val="nil"/>
              <w:left w:val="nil"/>
              <w:bottom w:val="single" w:sz="4" w:space="0" w:color="auto"/>
              <w:right w:val="single" w:sz="4" w:space="0" w:color="auto"/>
            </w:tcBorders>
            <w:shd w:val="clear" w:color="000000" w:fill="FFFFFF"/>
            <w:noWrap/>
            <w:vAlign w:val="bottom"/>
            <w:hideMark/>
          </w:tcPr>
          <w:p w14:paraId="48436D3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DC2CE8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Sitme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1579ACD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902,00</w:t>
            </w:r>
          </w:p>
        </w:tc>
        <w:tc>
          <w:tcPr>
            <w:tcW w:w="1120" w:type="dxa"/>
            <w:tcBorders>
              <w:top w:val="nil"/>
              <w:left w:val="nil"/>
              <w:bottom w:val="single" w:sz="4" w:space="0" w:color="auto"/>
              <w:right w:val="single" w:sz="4" w:space="0" w:color="auto"/>
            </w:tcBorders>
            <w:shd w:val="clear" w:color="000000" w:fill="FFFFFF"/>
            <w:noWrap/>
            <w:vAlign w:val="bottom"/>
            <w:hideMark/>
          </w:tcPr>
          <w:p w14:paraId="77E89CD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3200,50</w:t>
            </w:r>
          </w:p>
        </w:tc>
        <w:tc>
          <w:tcPr>
            <w:tcW w:w="1140" w:type="dxa"/>
            <w:tcBorders>
              <w:top w:val="nil"/>
              <w:left w:val="nil"/>
              <w:bottom w:val="single" w:sz="4" w:space="0" w:color="auto"/>
              <w:right w:val="single" w:sz="4" w:space="0" w:color="auto"/>
            </w:tcBorders>
            <w:shd w:val="clear" w:color="000000" w:fill="FFFFFF"/>
            <w:noWrap/>
            <w:vAlign w:val="bottom"/>
            <w:hideMark/>
          </w:tcPr>
          <w:p w14:paraId="31D654D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202,50</w:t>
            </w:r>
          </w:p>
        </w:tc>
        <w:tc>
          <w:tcPr>
            <w:tcW w:w="1120" w:type="dxa"/>
            <w:tcBorders>
              <w:top w:val="nil"/>
              <w:left w:val="nil"/>
              <w:bottom w:val="single" w:sz="4" w:space="0" w:color="auto"/>
              <w:right w:val="single" w:sz="4" w:space="0" w:color="auto"/>
            </w:tcBorders>
            <w:shd w:val="clear" w:color="000000" w:fill="FFFFFF"/>
            <w:noWrap/>
            <w:vAlign w:val="bottom"/>
            <w:hideMark/>
          </w:tcPr>
          <w:p w14:paraId="0681FA3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3500,00</w:t>
            </w:r>
          </w:p>
        </w:tc>
        <w:tc>
          <w:tcPr>
            <w:tcW w:w="931" w:type="dxa"/>
            <w:tcBorders>
              <w:top w:val="nil"/>
              <w:left w:val="nil"/>
              <w:bottom w:val="single" w:sz="4" w:space="0" w:color="auto"/>
              <w:right w:val="single" w:sz="4" w:space="0" w:color="auto"/>
            </w:tcBorders>
            <w:shd w:val="clear" w:color="000000" w:fill="FFFFFF"/>
            <w:noWrap/>
            <w:vAlign w:val="bottom"/>
            <w:hideMark/>
          </w:tcPr>
          <w:p w14:paraId="4368498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63,00</w:t>
            </w:r>
          </w:p>
        </w:tc>
        <w:tc>
          <w:tcPr>
            <w:tcW w:w="1219" w:type="dxa"/>
            <w:tcBorders>
              <w:top w:val="nil"/>
              <w:left w:val="nil"/>
              <w:bottom w:val="single" w:sz="4" w:space="0" w:color="auto"/>
              <w:right w:val="single" w:sz="4" w:space="0" w:color="auto"/>
            </w:tcBorders>
            <w:shd w:val="clear" w:color="000000" w:fill="FFFFFF"/>
            <w:noWrap/>
            <w:vAlign w:val="bottom"/>
            <w:hideMark/>
          </w:tcPr>
          <w:p w14:paraId="12DA639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1187,50</w:t>
            </w:r>
          </w:p>
        </w:tc>
        <w:tc>
          <w:tcPr>
            <w:tcW w:w="1075" w:type="dxa"/>
            <w:tcBorders>
              <w:top w:val="nil"/>
              <w:left w:val="nil"/>
              <w:bottom w:val="single" w:sz="4" w:space="0" w:color="auto"/>
              <w:right w:val="single" w:sz="4" w:space="0" w:color="auto"/>
            </w:tcBorders>
            <w:shd w:val="clear" w:color="000000" w:fill="FFFFFF"/>
            <w:noWrap/>
            <w:vAlign w:val="bottom"/>
            <w:hideMark/>
          </w:tcPr>
          <w:p w14:paraId="5F2B68A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3758,50</w:t>
            </w:r>
          </w:p>
        </w:tc>
      </w:tr>
      <w:tr w:rsidR="002D4864" w:rsidRPr="00620F58" w14:paraId="0434E595"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0672ED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106</w:t>
            </w:r>
          </w:p>
        </w:tc>
        <w:tc>
          <w:tcPr>
            <w:tcW w:w="1845" w:type="dxa"/>
            <w:tcBorders>
              <w:top w:val="nil"/>
              <w:left w:val="nil"/>
              <w:bottom w:val="single" w:sz="4" w:space="0" w:color="auto"/>
              <w:right w:val="single" w:sz="4" w:space="0" w:color="auto"/>
            </w:tcBorders>
            <w:shd w:val="clear" w:color="000000" w:fill="FFFFFF"/>
            <w:noWrap/>
            <w:vAlign w:val="bottom"/>
            <w:hideMark/>
          </w:tcPr>
          <w:p w14:paraId="217D9B8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6AC4F35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Soela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20B94F1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728,10</w:t>
            </w:r>
          </w:p>
        </w:tc>
        <w:tc>
          <w:tcPr>
            <w:tcW w:w="1120" w:type="dxa"/>
            <w:tcBorders>
              <w:top w:val="nil"/>
              <w:left w:val="nil"/>
              <w:bottom w:val="single" w:sz="4" w:space="0" w:color="auto"/>
              <w:right w:val="single" w:sz="4" w:space="0" w:color="auto"/>
            </w:tcBorders>
            <w:shd w:val="clear" w:color="000000" w:fill="FFFFFF"/>
            <w:noWrap/>
            <w:vAlign w:val="bottom"/>
            <w:hideMark/>
          </w:tcPr>
          <w:p w14:paraId="001CF00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1161,20</w:t>
            </w:r>
          </w:p>
        </w:tc>
        <w:tc>
          <w:tcPr>
            <w:tcW w:w="1140" w:type="dxa"/>
            <w:tcBorders>
              <w:top w:val="nil"/>
              <w:left w:val="nil"/>
              <w:bottom w:val="single" w:sz="4" w:space="0" w:color="auto"/>
              <w:right w:val="single" w:sz="4" w:space="0" w:color="auto"/>
            </w:tcBorders>
            <w:shd w:val="clear" w:color="000000" w:fill="FFFFFF"/>
            <w:noWrap/>
            <w:vAlign w:val="bottom"/>
            <w:hideMark/>
          </w:tcPr>
          <w:p w14:paraId="7130932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1205,60</w:t>
            </w:r>
          </w:p>
        </w:tc>
        <w:tc>
          <w:tcPr>
            <w:tcW w:w="1120" w:type="dxa"/>
            <w:tcBorders>
              <w:top w:val="nil"/>
              <w:left w:val="nil"/>
              <w:bottom w:val="single" w:sz="4" w:space="0" w:color="auto"/>
              <w:right w:val="single" w:sz="4" w:space="0" w:color="auto"/>
            </w:tcBorders>
            <w:shd w:val="clear" w:color="000000" w:fill="FFFFFF"/>
            <w:noWrap/>
            <w:vAlign w:val="bottom"/>
            <w:hideMark/>
          </w:tcPr>
          <w:p w14:paraId="6F8B41B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2793,50</w:t>
            </w:r>
          </w:p>
        </w:tc>
        <w:tc>
          <w:tcPr>
            <w:tcW w:w="931" w:type="dxa"/>
            <w:tcBorders>
              <w:top w:val="nil"/>
              <w:left w:val="nil"/>
              <w:bottom w:val="single" w:sz="4" w:space="0" w:color="auto"/>
              <w:right w:val="single" w:sz="4" w:space="0" w:color="auto"/>
            </w:tcBorders>
            <w:shd w:val="clear" w:color="000000" w:fill="FFFFFF"/>
            <w:noWrap/>
            <w:vAlign w:val="bottom"/>
            <w:hideMark/>
          </w:tcPr>
          <w:p w14:paraId="4C6541B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806,00</w:t>
            </w:r>
          </w:p>
        </w:tc>
        <w:tc>
          <w:tcPr>
            <w:tcW w:w="1219" w:type="dxa"/>
            <w:tcBorders>
              <w:top w:val="nil"/>
              <w:left w:val="nil"/>
              <w:bottom w:val="single" w:sz="4" w:space="0" w:color="auto"/>
              <w:right w:val="single" w:sz="4" w:space="0" w:color="auto"/>
            </w:tcBorders>
            <w:shd w:val="clear" w:color="000000" w:fill="FFFFFF"/>
            <w:noWrap/>
            <w:vAlign w:val="bottom"/>
            <w:hideMark/>
          </w:tcPr>
          <w:p w14:paraId="63976F9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630,00</w:t>
            </w:r>
          </w:p>
        </w:tc>
        <w:tc>
          <w:tcPr>
            <w:tcW w:w="1075" w:type="dxa"/>
            <w:tcBorders>
              <w:top w:val="nil"/>
              <w:left w:val="nil"/>
              <w:bottom w:val="single" w:sz="4" w:space="0" w:color="auto"/>
              <w:right w:val="single" w:sz="4" w:space="0" w:color="auto"/>
            </w:tcBorders>
            <w:shd w:val="clear" w:color="000000" w:fill="FFFFFF"/>
            <w:noWrap/>
            <w:vAlign w:val="bottom"/>
            <w:hideMark/>
          </w:tcPr>
          <w:p w14:paraId="43A0A05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776,20</w:t>
            </w:r>
          </w:p>
        </w:tc>
      </w:tr>
      <w:tr w:rsidR="002D4864" w:rsidRPr="00620F58" w14:paraId="3523F92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C5837C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107</w:t>
            </w:r>
          </w:p>
        </w:tc>
        <w:tc>
          <w:tcPr>
            <w:tcW w:w="1845" w:type="dxa"/>
            <w:tcBorders>
              <w:top w:val="nil"/>
              <w:left w:val="nil"/>
              <w:bottom w:val="single" w:sz="4" w:space="0" w:color="auto"/>
              <w:right w:val="single" w:sz="4" w:space="0" w:color="auto"/>
            </w:tcBorders>
            <w:shd w:val="clear" w:color="000000" w:fill="FFFFFF"/>
            <w:noWrap/>
            <w:vAlign w:val="bottom"/>
            <w:hideMark/>
          </w:tcPr>
          <w:p w14:paraId="5F60C56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E81E0D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Sutu</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79BDC4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6562,90</w:t>
            </w:r>
          </w:p>
        </w:tc>
        <w:tc>
          <w:tcPr>
            <w:tcW w:w="1120" w:type="dxa"/>
            <w:tcBorders>
              <w:top w:val="nil"/>
              <w:left w:val="nil"/>
              <w:bottom w:val="single" w:sz="4" w:space="0" w:color="auto"/>
              <w:right w:val="single" w:sz="4" w:space="0" w:color="auto"/>
            </w:tcBorders>
            <w:shd w:val="clear" w:color="000000" w:fill="FFFFFF"/>
            <w:noWrap/>
            <w:vAlign w:val="bottom"/>
            <w:hideMark/>
          </w:tcPr>
          <w:p w14:paraId="315E0B1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12708,80</w:t>
            </w:r>
          </w:p>
        </w:tc>
        <w:tc>
          <w:tcPr>
            <w:tcW w:w="1140" w:type="dxa"/>
            <w:tcBorders>
              <w:top w:val="nil"/>
              <w:left w:val="nil"/>
              <w:bottom w:val="single" w:sz="4" w:space="0" w:color="auto"/>
              <w:right w:val="single" w:sz="4" w:space="0" w:color="auto"/>
            </w:tcBorders>
            <w:shd w:val="clear" w:color="000000" w:fill="FFFFFF"/>
            <w:noWrap/>
            <w:vAlign w:val="bottom"/>
            <w:hideMark/>
          </w:tcPr>
          <w:p w14:paraId="7FDBA0C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23030,70</w:t>
            </w:r>
          </w:p>
        </w:tc>
        <w:tc>
          <w:tcPr>
            <w:tcW w:w="1120" w:type="dxa"/>
            <w:tcBorders>
              <w:top w:val="nil"/>
              <w:left w:val="nil"/>
              <w:bottom w:val="single" w:sz="4" w:space="0" w:color="auto"/>
              <w:right w:val="single" w:sz="4" w:space="0" w:color="auto"/>
            </w:tcBorders>
            <w:shd w:val="clear" w:color="000000" w:fill="FFFFFF"/>
            <w:noWrap/>
            <w:vAlign w:val="bottom"/>
            <w:hideMark/>
          </w:tcPr>
          <w:p w14:paraId="27B4F4E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24351,50</w:t>
            </w:r>
          </w:p>
        </w:tc>
        <w:tc>
          <w:tcPr>
            <w:tcW w:w="931" w:type="dxa"/>
            <w:tcBorders>
              <w:top w:val="nil"/>
              <w:left w:val="nil"/>
              <w:bottom w:val="single" w:sz="4" w:space="0" w:color="auto"/>
              <w:right w:val="single" w:sz="4" w:space="0" w:color="auto"/>
            </w:tcBorders>
            <w:shd w:val="clear" w:color="000000" w:fill="FFFFFF"/>
            <w:noWrap/>
            <w:vAlign w:val="bottom"/>
            <w:hideMark/>
          </w:tcPr>
          <w:p w14:paraId="6424E5C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13104,00</w:t>
            </w:r>
          </w:p>
        </w:tc>
        <w:tc>
          <w:tcPr>
            <w:tcW w:w="1219" w:type="dxa"/>
            <w:tcBorders>
              <w:top w:val="nil"/>
              <w:left w:val="nil"/>
              <w:bottom w:val="single" w:sz="4" w:space="0" w:color="auto"/>
              <w:right w:val="single" w:sz="4" w:space="0" w:color="auto"/>
            </w:tcBorders>
            <w:shd w:val="clear" w:color="000000" w:fill="FFFFFF"/>
            <w:noWrap/>
            <w:vAlign w:val="bottom"/>
            <w:hideMark/>
          </w:tcPr>
          <w:p w14:paraId="768F567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15017,50</w:t>
            </w:r>
          </w:p>
        </w:tc>
        <w:tc>
          <w:tcPr>
            <w:tcW w:w="1075" w:type="dxa"/>
            <w:tcBorders>
              <w:top w:val="nil"/>
              <w:left w:val="nil"/>
              <w:bottom w:val="single" w:sz="4" w:space="0" w:color="auto"/>
              <w:right w:val="single" w:sz="4" w:space="0" w:color="auto"/>
            </w:tcBorders>
            <w:shd w:val="clear" w:color="000000" w:fill="FFFFFF"/>
            <w:noWrap/>
            <w:vAlign w:val="bottom"/>
            <w:hideMark/>
          </w:tcPr>
          <w:p w14:paraId="73F5BB6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21042,00</w:t>
            </w:r>
          </w:p>
        </w:tc>
      </w:tr>
      <w:tr w:rsidR="002D4864" w:rsidRPr="00620F58" w14:paraId="5A46B2D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01900D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108</w:t>
            </w:r>
          </w:p>
        </w:tc>
        <w:tc>
          <w:tcPr>
            <w:tcW w:w="1845" w:type="dxa"/>
            <w:tcBorders>
              <w:top w:val="nil"/>
              <w:left w:val="nil"/>
              <w:bottom w:val="single" w:sz="4" w:space="0" w:color="auto"/>
              <w:right w:val="single" w:sz="4" w:space="0" w:color="auto"/>
            </w:tcBorders>
            <w:shd w:val="clear" w:color="000000" w:fill="FFFFFF"/>
            <w:noWrap/>
            <w:vAlign w:val="bottom"/>
            <w:hideMark/>
          </w:tcPr>
          <w:p w14:paraId="1A42052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1CBB8B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Suurekivi</w:t>
            </w:r>
          </w:p>
        </w:tc>
        <w:tc>
          <w:tcPr>
            <w:tcW w:w="1075" w:type="dxa"/>
            <w:tcBorders>
              <w:top w:val="nil"/>
              <w:left w:val="nil"/>
              <w:bottom w:val="single" w:sz="4" w:space="0" w:color="auto"/>
              <w:right w:val="single" w:sz="4" w:space="0" w:color="auto"/>
            </w:tcBorders>
            <w:shd w:val="clear" w:color="000000" w:fill="FFFFFF"/>
            <w:noWrap/>
            <w:vAlign w:val="bottom"/>
            <w:hideMark/>
          </w:tcPr>
          <w:p w14:paraId="2F79929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1346,60</w:t>
            </w:r>
          </w:p>
        </w:tc>
        <w:tc>
          <w:tcPr>
            <w:tcW w:w="1120" w:type="dxa"/>
            <w:tcBorders>
              <w:top w:val="nil"/>
              <w:left w:val="nil"/>
              <w:bottom w:val="single" w:sz="4" w:space="0" w:color="auto"/>
              <w:right w:val="single" w:sz="4" w:space="0" w:color="auto"/>
            </w:tcBorders>
            <w:shd w:val="clear" w:color="000000" w:fill="FFFFFF"/>
            <w:noWrap/>
            <w:vAlign w:val="bottom"/>
            <w:hideMark/>
          </w:tcPr>
          <w:p w14:paraId="65F912C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8016,60</w:t>
            </w:r>
          </w:p>
        </w:tc>
        <w:tc>
          <w:tcPr>
            <w:tcW w:w="1140" w:type="dxa"/>
            <w:tcBorders>
              <w:top w:val="nil"/>
              <w:left w:val="nil"/>
              <w:bottom w:val="single" w:sz="4" w:space="0" w:color="auto"/>
              <w:right w:val="single" w:sz="4" w:space="0" w:color="auto"/>
            </w:tcBorders>
            <w:shd w:val="clear" w:color="000000" w:fill="FFFFFF"/>
            <w:noWrap/>
            <w:vAlign w:val="bottom"/>
            <w:hideMark/>
          </w:tcPr>
          <w:p w14:paraId="1F5336E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892,90</w:t>
            </w:r>
          </w:p>
        </w:tc>
        <w:tc>
          <w:tcPr>
            <w:tcW w:w="1120" w:type="dxa"/>
            <w:tcBorders>
              <w:top w:val="nil"/>
              <w:left w:val="nil"/>
              <w:bottom w:val="single" w:sz="4" w:space="0" w:color="auto"/>
              <w:right w:val="single" w:sz="4" w:space="0" w:color="auto"/>
            </w:tcBorders>
            <w:shd w:val="clear" w:color="000000" w:fill="FFFFFF"/>
            <w:noWrap/>
            <w:vAlign w:val="bottom"/>
            <w:hideMark/>
          </w:tcPr>
          <w:p w14:paraId="566E6CD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1988,40</w:t>
            </w:r>
          </w:p>
        </w:tc>
        <w:tc>
          <w:tcPr>
            <w:tcW w:w="931" w:type="dxa"/>
            <w:tcBorders>
              <w:top w:val="nil"/>
              <w:left w:val="nil"/>
              <w:bottom w:val="single" w:sz="4" w:space="0" w:color="auto"/>
              <w:right w:val="single" w:sz="4" w:space="0" w:color="auto"/>
            </w:tcBorders>
            <w:shd w:val="clear" w:color="000000" w:fill="FFFFFF"/>
            <w:noWrap/>
            <w:vAlign w:val="bottom"/>
            <w:hideMark/>
          </w:tcPr>
          <w:p w14:paraId="6551AED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2028,00</w:t>
            </w:r>
          </w:p>
        </w:tc>
        <w:tc>
          <w:tcPr>
            <w:tcW w:w="1219" w:type="dxa"/>
            <w:tcBorders>
              <w:top w:val="nil"/>
              <w:left w:val="nil"/>
              <w:bottom w:val="single" w:sz="4" w:space="0" w:color="auto"/>
              <w:right w:val="single" w:sz="4" w:space="0" w:color="auto"/>
            </w:tcBorders>
            <w:shd w:val="clear" w:color="000000" w:fill="FFFFFF"/>
            <w:noWrap/>
            <w:vAlign w:val="bottom"/>
            <w:hideMark/>
          </w:tcPr>
          <w:p w14:paraId="09AE812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296,90</w:t>
            </w:r>
          </w:p>
        </w:tc>
        <w:tc>
          <w:tcPr>
            <w:tcW w:w="1075" w:type="dxa"/>
            <w:tcBorders>
              <w:top w:val="nil"/>
              <w:left w:val="nil"/>
              <w:bottom w:val="single" w:sz="4" w:space="0" w:color="auto"/>
              <w:right w:val="single" w:sz="4" w:space="0" w:color="auto"/>
            </w:tcBorders>
            <w:shd w:val="clear" w:color="000000" w:fill="FFFFFF"/>
            <w:noWrap/>
            <w:vAlign w:val="bottom"/>
            <w:hideMark/>
          </w:tcPr>
          <w:p w14:paraId="069D440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302,50</w:t>
            </w:r>
          </w:p>
        </w:tc>
      </w:tr>
      <w:tr w:rsidR="002D4864" w:rsidRPr="00620F58" w14:paraId="63041A86"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54842E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109</w:t>
            </w:r>
          </w:p>
        </w:tc>
        <w:tc>
          <w:tcPr>
            <w:tcW w:w="1845" w:type="dxa"/>
            <w:tcBorders>
              <w:top w:val="nil"/>
              <w:left w:val="nil"/>
              <w:bottom w:val="single" w:sz="4" w:space="0" w:color="auto"/>
              <w:right w:val="single" w:sz="4" w:space="0" w:color="auto"/>
            </w:tcBorders>
            <w:shd w:val="clear" w:color="000000" w:fill="FFFFFF"/>
            <w:noWrap/>
            <w:vAlign w:val="bottom"/>
            <w:hideMark/>
          </w:tcPr>
          <w:p w14:paraId="203AFBA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1D5BCF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Sääre  Sõrve säär</w:t>
            </w:r>
          </w:p>
        </w:tc>
        <w:tc>
          <w:tcPr>
            <w:tcW w:w="1075" w:type="dxa"/>
            <w:tcBorders>
              <w:top w:val="nil"/>
              <w:left w:val="nil"/>
              <w:bottom w:val="single" w:sz="4" w:space="0" w:color="auto"/>
              <w:right w:val="single" w:sz="4" w:space="0" w:color="auto"/>
            </w:tcBorders>
            <w:shd w:val="clear" w:color="000000" w:fill="FFFFFF"/>
            <w:noWrap/>
            <w:vAlign w:val="bottom"/>
            <w:hideMark/>
          </w:tcPr>
          <w:p w14:paraId="4FBF348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10621,00</w:t>
            </w:r>
          </w:p>
        </w:tc>
        <w:tc>
          <w:tcPr>
            <w:tcW w:w="1120" w:type="dxa"/>
            <w:tcBorders>
              <w:top w:val="nil"/>
              <w:left w:val="nil"/>
              <w:bottom w:val="single" w:sz="4" w:space="0" w:color="auto"/>
              <w:right w:val="single" w:sz="4" w:space="0" w:color="auto"/>
            </w:tcBorders>
            <w:shd w:val="clear" w:color="000000" w:fill="FFFFFF"/>
            <w:noWrap/>
            <w:vAlign w:val="bottom"/>
            <w:hideMark/>
          </w:tcPr>
          <w:p w14:paraId="754E44D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7518,00</w:t>
            </w:r>
          </w:p>
        </w:tc>
        <w:tc>
          <w:tcPr>
            <w:tcW w:w="1140" w:type="dxa"/>
            <w:tcBorders>
              <w:top w:val="nil"/>
              <w:left w:val="nil"/>
              <w:bottom w:val="single" w:sz="4" w:space="0" w:color="auto"/>
              <w:right w:val="single" w:sz="4" w:space="0" w:color="auto"/>
            </w:tcBorders>
            <w:shd w:val="clear" w:color="000000" w:fill="FFFFFF"/>
            <w:noWrap/>
            <w:vAlign w:val="bottom"/>
            <w:hideMark/>
          </w:tcPr>
          <w:p w14:paraId="56B35E8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10095,50</w:t>
            </w:r>
          </w:p>
        </w:tc>
        <w:tc>
          <w:tcPr>
            <w:tcW w:w="1120" w:type="dxa"/>
            <w:tcBorders>
              <w:top w:val="nil"/>
              <w:left w:val="nil"/>
              <w:bottom w:val="single" w:sz="4" w:space="0" w:color="auto"/>
              <w:right w:val="single" w:sz="4" w:space="0" w:color="auto"/>
            </w:tcBorders>
            <w:shd w:val="clear" w:color="000000" w:fill="FFFFFF"/>
            <w:noWrap/>
            <w:vAlign w:val="bottom"/>
            <w:hideMark/>
          </w:tcPr>
          <w:p w14:paraId="3A3ED92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12905,90</w:t>
            </w:r>
          </w:p>
        </w:tc>
        <w:tc>
          <w:tcPr>
            <w:tcW w:w="931" w:type="dxa"/>
            <w:tcBorders>
              <w:top w:val="nil"/>
              <w:left w:val="nil"/>
              <w:bottom w:val="single" w:sz="4" w:space="0" w:color="auto"/>
              <w:right w:val="single" w:sz="4" w:space="0" w:color="auto"/>
            </w:tcBorders>
            <w:shd w:val="clear" w:color="000000" w:fill="FFFFFF"/>
            <w:noWrap/>
            <w:vAlign w:val="bottom"/>
            <w:hideMark/>
          </w:tcPr>
          <w:p w14:paraId="181CB0A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5143,00</w:t>
            </w:r>
          </w:p>
        </w:tc>
        <w:tc>
          <w:tcPr>
            <w:tcW w:w="1219" w:type="dxa"/>
            <w:tcBorders>
              <w:top w:val="nil"/>
              <w:left w:val="nil"/>
              <w:bottom w:val="single" w:sz="4" w:space="0" w:color="auto"/>
              <w:right w:val="single" w:sz="4" w:space="0" w:color="auto"/>
            </w:tcBorders>
            <w:shd w:val="clear" w:color="000000" w:fill="FFFFFF"/>
            <w:noWrap/>
            <w:vAlign w:val="bottom"/>
            <w:hideMark/>
          </w:tcPr>
          <w:p w14:paraId="1FB13B6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4356,00</w:t>
            </w:r>
          </w:p>
        </w:tc>
        <w:tc>
          <w:tcPr>
            <w:tcW w:w="1075" w:type="dxa"/>
            <w:tcBorders>
              <w:top w:val="nil"/>
              <w:left w:val="nil"/>
              <w:bottom w:val="single" w:sz="4" w:space="0" w:color="auto"/>
              <w:right w:val="single" w:sz="4" w:space="0" w:color="auto"/>
            </w:tcBorders>
            <w:shd w:val="clear" w:color="000000" w:fill="FFFFFF"/>
            <w:noWrap/>
            <w:vAlign w:val="bottom"/>
            <w:hideMark/>
          </w:tcPr>
          <w:p w14:paraId="6D409E4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2647,60</w:t>
            </w:r>
          </w:p>
        </w:tc>
      </w:tr>
      <w:tr w:rsidR="00620F58" w:rsidRPr="00620F58" w14:paraId="41F6F7D5"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F7A6AB6" w14:textId="77777777" w:rsidR="00620F58" w:rsidRPr="002D4864" w:rsidRDefault="00620F58" w:rsidP="00620F58">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110</w:t>
            </w:r>
          </w:p>
        </w:tc>
        <w:tc>
          <w:tcPr>
            <w:tcW w:w="1845" w:type="dxa"/>
            <w:tcBorders>
              <w:top w:val="nil"/>
              <w:left w:val="nil"/>
              <w:bottom w:val="single" w:sz="4" w:space="0" w:color="auto"/>
              <w:right w:val="single" w:sz="4" w:space="0" w:color="auto"/>
            </w:tcBorders>
            <w:shd w:val="clear" w:color="000000" w:fill="FFFFFF"/>
            <w:noWrap/>
            <w:vAlign w:val="bottom"/>
            <w:hideMark/>
          </w:tcPr>
          <w:p w14:paraId="065C8E67" w14:textId="77777777" w:rsidR="00620F58" w:rsidRPr="002D4864" w:rsidRDefault="00620F58" w:rsidP="00620F58">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27CFC76E" w14:textId="77777777" w:rsidR="00620F58" w:rsidRPr="002D4864" w:rsidRDefault="00620F58" w:rsidP="00620F58">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Taaliku</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6922A1C6" w14:textId="77B39E8E" w:rsidR="00620F58" w:rsidRPr="002D4864" w:rsidRDefault="00620F58" w:rsidP="00620F58">
            <w:pPr>
              <w:suppressAutoHyphens w:val="0"/>
              <w:spacing w:after="0"/>
              <w:jc w:val="right"/>
              <w:rPr>
                <w:rFonts w:ascii="Times New Roman" w:eastAsia="Times New Roman" w:hAnsi="Times New Roman" w:cs="Times New Roman"/>
                <w:color w:val="000000"/>
                <w:sz w:val="22"/>
                <w:szCs w:val="22"/>
              </w:rPr>
            </w:pPr>
            <w:r>
              <w:rPr>
                <w:rFonts w:ascii="Calibri" w:hAnsi="Calibri" w:cs="Calibri"/>
                <w:color w:val="000000"/>
                <w:sz w:val="22"/>
                <w:szCs w:val="22"/>
              </w:rPr>
              <w:t>1261,00</w:t>
            </w:r>
          </w:p>
        </w:tc>
        <w:tc>
          <w:tcPr>
            <w:tcW w:w="1120" w:type="dxa"/>
            <w:tcBorders>
              <w:top w:val="nil"/>
              <w:left w:val="nil"/>
              <w:bottom w:val="single" w:sz="4" w:space="0" w:color="auto"/>
              <w:right w:val="single" w:sz="4" w:space="0" w:color="auto"/>
            </w:tcBorders>
            <w:shd w:val="clear" w:color="000000" w:fill="FFFFFF"/>
            <w:noWrap/>
            <w:vAlign w:val="bottom"/>
            <w:hideMark/>
          </w:tcPr>
          <w:p w14:paraId="70A50876" w14:textId="07B3461A" w:rsidR="00620F58" w:rsidRPr="002D4864" w:rsidRDefault="00620F58" w:rsidP="00620F58">
            <w:pPr>
              <w:suppressAutoHyphens w:val="0"/>
              <w:spacing w:after="0"/>
              <w:jc w:val="right"/>
              <w:rPr>
                <w:rFonts w:ascii="Times New Roman" w:eastAsia="Times New Roman" w:hAnsi="Times New Roman" w:cs="Times New Roman"/>
                <w:color w:val="000000"/>
                <w:sz w:val="22"/>
                <w:szCs w:val="22"/>
              </w:rPr>
            </w:pPr>
            <w:r>
              <w:rPr>
                <w:rFonts w:ascii="Calibri" w:hAnsi="Calibri" w:cs="Calibri"/>
                <w:color w:val="000000"/>
                <w:sz w:val="22"/>
                <w:szCs w:val="22"/>
              </w:rPr>
              <w:t>816,50</w:t>
            </w:r>
          </w:p>
        </w:tc>
        <w:tc>
          <w:tcPr>
            <w:tcW w:w="1140" w:type="dxa"/>
            <w:tcBorders>
              <w:top w:val="nil"/>
              <w:left w:val="nil"/>
              <w:bottom w:val="single" w:sz="4" w:space="0" w:color="auto"/>
              <w:right w:val="single" w:sz="4" w:space="0" w:color="auto"/>
            </w:tcBorders>
            <w:shd w:val="clear" w:color="000000" w:fill="FFFFFF"/>
            <w:noWrap/>
            <w:vAlign w:val="bottom"/>
            <w:hideMark/>
          </w:tcPr>
          <w:p w14:paraId="0642876A" w14:textId="0596902A" w:rsidR="00620F58" w:rsidRPr="002D4864" w:rsidRDefault="00620F58" w:rsidP="00620F58">
            <w:pPr>
              <w:suppressAutoHyphens w:val="0"/>
              <w:spacing w:after="0"/>
              <w:jc w:val="right"/>
              <w:rPr>
                <w:rFonts w:ascii="Times New Roman" w:eastAsia="Times New Roman" w:hAnsi="Times New Roman" w:cs="Times New Roman"/>
                <w:color w:val="000000"/>
                <w:sz w:val="22"/>
                <w:szCs w:val="22"/>
              </w:rPr>
            </w:pPr>
            <w:r>
              <w:rPr>
                <w:rFonts w:ascii="Calibri" w:hAnsi="Calibri" w:cs="Calibri"/>
                <w:color w:val="000000"/>
                <w:sz w:val="22"/>
                <w:szCs w:val="22"/>
              </w:rPr>
              <w:t>1401,50</w:t>
            </w:r>
          </w:p>
        </w:tc>
        <w:tc>
          <w:tcPr>
            <w:tcW w:w="1120" w:type="dxa"/>
            <w:tcBorders>
              <w:top w:val="nil"/>
              <w:left w:val="nil"/>
              <w:bottom w:val="single" w:sz="4" w:space="0" w:color="auto"/>
              <w:right w:val="single" w:sz="4" w:space="0" w:color="auto"/>
            </w:tcBorders>
            <w:shd w:val="clear" w:color="000000" w:fill="FFFFFF"/>
            <w:noWrap/>
            <w:vAlign w:val="bottom"/>
            <w:hideMark/>
          </w:tcPr>
          <w:p w14:paraId="41519A64" w14:textId="3BC950CF" w:rsidR="00620F58" w:rsidRPr="002D4864" w:rsidRDefault="00620F58" w:rsidP="00620F58">
            <w:pPr>
              <w:suppressAutoHyphens w:val="0"/>
              <w:spacing w:after="0"/>
              <w:jc w:val="right"/>
              <w:rPr>
                <w:rFonts w:ascii="Times New Roman" w:eastAsia="Times New Roman" w:hAnsi="Times New Roman" w:cs="Times New Roman"/>
                <w:color w:val="000000"/>
                <w:sz w:val="22"/>
                <w:szCs w:val="22"/>
              </w:rPr>
            </w:pPr>
            <w:r>
              <w:rPr>
                <w:rFonts w:ascii="Calibri" w:hAnsi="Calibri" w:cs="Calibri"/>
                <w:color w:val="000000"/>
                <w:sz w:val="22"/>
                <w:szCs w:val="22"/>
              </w:rPr>
              <w:t>3664,00</w:t>
            </w:r>
          </w:p>
        </w:tc>
        <w:tc>
          <w:tcPr>
            <w:tcW w:w="931" w:type="dxa"/>
            <w:tcBorders>
              <w:top w:val="nil"/>
              <w:left w:val="nil"/>
              <w:bottom w:val="single" w:sz="4" w:space="0" w:color="auto"/>
              <w:right w:val="single" w:sz="4" w:space="0" w:color="auto"/>
            </w:tcBorders>
            <w:shd w:val="clear" w:color="000000" w:fill="FFFFFF"/>
            <w:noWrap/>
            <w:vAlign w:val="bottom"/>
            <w:hideMark/>
          </w:tcPr>
          <w:p w14:paraId="729CC099" w14:textId="3DE7A7ED" w:rsidR="00620F58" w:rsidRPr="002D4864" w:rsidRDefault="00620F58" w:rsidP="00620F58">
            <w:pPr>
              <w:suppressAutoHyphens w:val="0"/>
              <w:spacing w:after="0"/>
              <w:jc w:val="right"/>
              <w:rPr>
                <w:rFonts w:ascii="Times New Roman" w:eastAsia="Times New Roman" w:hAnsi="Times New Roman" w:cs="Times New Roman"/>
                <w:color w:val="000000"/>
                <w:sz w:val="22"/>
                <w:szCs w:val="22"/>
              </w:rPr>
            </w:pPr>
            <w:r>
              <w:rPr>
                <w:rFonts w:ascii="Calibri" w:hAnsi="Calibri" w:cs="Calibri"/>
                <w:color w:val="000000"/>
                <w:sz w:val="22"/>
                <w:szCs w:val="22"/>
              </w:rPr>
              <w:t>803,00</w:t>
            </w:r>
          </w:p>
        </w:tc>
        <w:tc>
          <w:tcPr>
            <w:tcW w:w="1219" w:type="dxa"/>
            <w:tcBorders>
              <w:top w:val="nil"/>
              <w:left w:val="nil"/>
              <w:bottom w:val="single" w:sz="4" w:space="0" w:color="auto"/>
              <w:right w:val="single" w:sz="4" w:space="0" w:color="auto"/>
            </w:tcBorders>
            <w:shd w:val="clear" w:color="000000" w:fill="FFFFFF"/>
            <w:noWrap/>
            <w:vAlign w:val="bottom"/>
            <w:hideMark/>
          </w:tcPr>
          <w:p w14:paraId="0295985C" w14:textId="63B7F11E" w:rsidR="00620F58" w:rsidRPr="002D4864" w:rsidRDefault="00620F58" w:rsidP="00620F58">
            <w:pPr>
              <w:suppressAutoHyphens w:val="0"/>
              <w:spacing w:after="0"/>
              <w:jc w:val="right"/>
              <w:rPr>
                <w:rFonts w:ascii="Times New Roman" w:eastAsia="Times New Roman" w:hAnsi="Times New Roman" w:cs="Times New Roman"/>
                <w:color w:val="000000"/>
                <w:sz w:val="22"/>
                <w:szCs w:val="22"/>
              </w:rPr>
            </w:pPr>
            <w:r>
              <w:rPr>
                <w:rFonts w:ascii="Calibri" w:hAnsi="Calibri" w:cs="Calibri"/>
                <w:color w:val="000000"/>
                <w:sz w:val="22"/>
                <w:szCs w:val="22"/>
              </w:rPr>
              <w:t>544,10</w:t>
            </w:r>
          </w:p>
        </w:tc>
        <w:tc>
          <w:tcPr>
            <w:tcW w:w="1075" w:type="dxa"/>
            <w:tcBorders>
              <w:top w:val="nil"/>
              <w:left w:val="nil"/>
              <w:bottom w:val="single" w:sz="4" w:space="0" w:color="auto"/>
              <w:right w:val="single" w:sz="4" w:space="0" w:color="auto"/>
            </w:tcBorders>
            <w:shd w:val="clear" w:color="000000" w:fill="FFFFFF"/>
            <w:noWrap/>
            <w:vAlign w:val="bottom"/>
            <w:hideMark/>
          </w:tcPr>
          <w:p w14:paraId="4002AEC1" w14:textId="6C0A47E1" w:rsidR="00620F58" w:rsidRPr="002D4864" w:rsidRDefault="00620F58" w:rsidP="00620F58">
            <w:pPr>
              <w:suppressAutoHyphens w:val="0"/>
              <w:spacing w:after="0"/>
              <w:jc w:val="right"/>
              <w:rPr>
                <w:rFonts w:ascii="Times New Roman" w:eastAsia="Times New Roman" w:hAnsi="Times New Roman" w:cs="Times New Roman"/>
                <w:color w:val="000000"/>
                <w:sz w:val="22"/>
                <w:szCs w:val="22"/>
              </w:rPr>
            </w:pPr>
            <w:r>
              <w:rPr>
                <w:rFonts w:ascii="Calibri" w:hAnsi="Calibri" w:cs="Calibri"/>
                <w:color w:val="000000"/>
                <w:sz w:val="22"/>
                <w:szCs w:val="22"/>
              </w:rPr>
              <w:t>1168,80</w:t>
            </w:r>
          </w:p>
        </w:tc>
      </w:tr>
      <w:tr w:rsidR="002D4864" w:rsidRPr="00620F58" w14:paraId="7F8A13E7"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3A8E8F6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111</w:t>
            </w:r>
          </w:p>
        </w:tc>
        <w:tc>
          <w:tcPr>
            <w:tcW w:w="1845" w:type="dxa"/>
            <w:tcBorders>
              <w:top w:val="nil"/>
              <w:left w:val="nil"/>
              <w:bottom w:val="single" w:sz="4" w:space="0" w:color="auto"/>
              <w:right w:val="single" w:sz="4" w:space="0" w:color="auto"/>
            </w:tcBorders>
            <w:shd w:val="clear" w:color="F8CBAD" w:fill="FFFFFF"/>
            <w:noWrap/>
            <w:vAlign w:val="bottom"/>
            <w:hideMark/>
          </w:tcPr>
          <w:p w14:paraId="0A213BC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37FE88A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Tammelao külasadam</w:t>
            </w:r>
          </w:p>
        </w:tc>
        <w:tc>
          <w:tcPr>
            <w:tcW w:w="1075" w:type="dxa"/>
            <w:tcBorders>
              <w:top w:val="nil"/>
              <w:left w:val="nil"/>
              <w:bottom w:val="single" w:sz="4" w:space="0" w:color="auto"/>
              <w:right w:val="single" w:sz="4" w:space="0" w:color="auto"/>
            </w:tcBorders>
            <w:shd w:val="clear" w:color="F8CBAD" w:fill="FFFFFF"/>
            <w:noWrap/>
            <w:vAlign w:val="bottom"/>
            <w:hideMark/>
          </w:tcPr>
          <w:p w14:paraId="3ACD15D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68CC4C5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35,00</w:t>
            </w:r>
          </w:p>
        </w:tc>
        <w:tc>
          <w:tcPr>
            <w:tcW w:w="1140" w:type="dxa"/>
            <w:tcBorders>
              <w:top w:val="nil"/>
              <w:left w:val="nil"/>
              <w:bottom w:val="single" w:sz="4" w:space="0" w:color="auto"/>
              <w:right w:val="single" w:sz="4" w:space="0" w:color="auto"/>
            </w:tcBorders>
            <w:shd w:val="clear" w:color="F8CBAD" w:fill="FFFFFF"/>
            <w:noWrap/>
            <w:vAlign w:val="bottom"/>
            <w:hideMark/>
          </w:tcPr>
          <w:p w14:paraId="0098D6D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02776D1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3AA0196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9,00</w:t>
            </w:r>
          </w:p>
        </w:tc>
        <w:tc>
          <w:tcPr>
            <w:tcW w:w="1219" w:type="dxa"/>
            <w:tcBorders>
              <w:top w:val="nil"/>
              <w:left w:val="nil"/>
              <w:bottom w:val="single" w:sz="4" w:space="0" w:color="auto"/>
              <w:right w:val="single" w:sz="4" w:space="0" w:color="auto"/>
            </w:tcBorders>
            <w:shd w:val="clear" w:color="F8CBAD" w:fill="FFFFFF"/>
            <w:noWrap/>
            <w:vAlign w:val="bottom"/>
            <w:hideMark/>
          </w:tcPr>
          <w:p w14:paraId="2AFAEC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774079B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54BD1581"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F2A8E8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112</w:t>
            </w:r>
          </w:p>
        </w:tc>
        <w:tc>
          <w:tcPr>
            <w:tcW w:w="1845" w:type="dxa"/>
            <w:tcBorders>
              <w:top w:val="nil"/>
              <w:left w:val="nil"/>
              <w:bottom w:val="single" w:sz="4" w:space="0" w:color="auto"/>
              <w:right w:val="single" w:sz="4" w:space="0" w:color="auto"/>
            </w:tcBorders>
            <w:shd w:val="clear" w:color="000000" w:fill="FFFFFF"/>
            <w:noWrap/>
            <w:vAlign w:val="bottom"/>
            <w:hideMark/>
          </w:tcPr>
          <w:p w14:paraId="4EABF7B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64AF362"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 xml:space="preserve">Tamme </w:t>
            </w:r>
            <w:proofErr w:type="spellStart"/>
            <w:r w:rsidRPr="002D4864">
              <w:rPr>
                <w:rFonts w:ascii="Times New Roman" w:eastAsia="Times New Roman" w:hAnsi="Times New Roman" w:cs="Times New Roman"/>
                <w:sz w:val="22"/>
                <w:szCs w:val="22"/>
              </w:rPr>
              <w:t>Ninase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467D083"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179,80</w:t>
            </w:r>
          </w:p>
        </w:tc>
        <w:tc>
          <w:tcPr>
            <w:tcW w:w="1120" w:type="dxa"/>
            <w:tcBorders>
              <w:top w:val="nil"/>
              <w:left w:val="nil"/>
              <w:bottom w:val="single" w:sz="4" w:space="0" w:color="auto"/>
              <w:right w:val="single" w:sz="4" w:space="0" w:color="auto"/>
            </w:tcBorders>
            <w:shd w:val="clear" w:color="000000" w:fill="FFFFFF"/>
            <w:noWrap/>
            <w:vAlign w:val="bottom"/>
            <w:hideMark/>
          </w:tcPr>
          <w:p w14:paraId="4DB73098"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264,00</w:t>
            </w:r>
          </w:p>
        </w:tc>
        <w:tc>
          <w:tcPr>
            <w:tcW w:w="1140" w:type="dxa"/>
            <w:tcBorders>
              <w:top w:val="nil"/>
              <w:left w:val="nil"/>
              <w:bottom w:val="single" w:sz="4" w:space="0" w:color="auto"/>
              <w:right w:val="single" w:sz="4" w:space="0" w:color="auto"/>
            </w:tcBorders>
            <w:shd w:val="clear" w:color="000000" w:fill="FFFFFF"/>
            <w:noWrap/>
            <w:vAlign w:val="bottom"/>
            <w:hideMark/>
          </w:tcPr>
          <w:p w14:paraId="07D00C91"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5736,67</w:t>
            </w:r>
          </w:p>
        </w:tc>
        <w:tc>
          <w:tcPr>
            <w:tcW w:w="1120" w:type="dxa"/>
            <w:tcBorders>
              <w:top w:val="nil"/>
              <w:left w:val="nil"/>
              <w:bottom w:val="single" w:sz="4" w:space="0" w:color="auto"/>
              <w:right w:val="single" w:sz="4" w:space="0" w:color="auto"/>
            </w:tcBorders>
            <w:shd w:val="clear" w:color="000000" w:fill="FFFFFF"/>
            <w:noWrap/>
            <w:vAlign w:val="bottom"/>
            <w:hideMark/>
          </w:tcPr>
          <w:p w14:paraId="537EC5E1"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2643,30</w:t>
            </w:r>
          </w:p>
        </w:tc>
        <w:tc>
          <w:tcPr>
            <w:tcW w:w="931" w:type="dxa"/>
            <w:tcBorders>
              <w:top w:val="nil"/>
              <w:left w:val="nil"/>
              <w:bottom w:val="single" w:sz="4" w:space="0" w:color="auto"/>
              <w:right w:val="single" w:sz="4" w:space="0" w:color="auto"/>
            </w:tcBorders>
            <w:shd w:val="clear" w:color="000000" w:fill="FFFFFF"/>
            <w:noWrap/>
            <w:vAlign w:val="bottom"/>
            <w:hideMark/>
          </w:tcPr>
          <w:p w14:paraId="417A333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5122,00</w:t>
            </w:r>
          </w:p>
        </w:tc>
        <w:tc>
          <w:tcPr>
            <w:tcW w:w="1219" w:type="dxa"/>
            <w:tcBorders>
              <w:top w:val="nil"/>
              <w:left w:val="nil"/>
              <w:bottom w:val="single" w:sz="4" w:space="0" w:color="auto"/>
              <w:right w:val="single" w:sz="4" w:space="0" w:color="auto"/>
            </w:tcBorders>
            <w:shd w:val="clear" w:color="000000" w:fill="FFFFFF"/>
            <w:noWrap/>
            <w:vAlign w:val="bottom"/>
            <w:hideMark/>
          </w:tcPr>
          <w:p w14:paraId="080B7CBB"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1800,60</w:t>
            </w:r>
          </w:p>
        </w:tc>
        <w:tc>
          <w:tcPr>
            <w:tcW w:w="1075" w:type="dxa"/>
            <w:tcBorders>
              <w:top w:val="nil"/>
              <w:left w:val="nil"/>
              <w:bottom w:val="single" w:sz="4" w:space="0" w:color="auto"/>
              <w:right w:val="single" w:sz="4" w:space="0" w:color="auto"/>
            </w:tcBorders>
            <w:shd w:val="clear" w:color="000000" w:fill="FFFFFF"/>
            <w:noWrap/>
            <w:vAlign w:val="bottom"/>
            <w:hideMark/>
          </w:tcPr>
          <w:p w14:paraId="3BBCCAC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423,00</w:t>
            </w:r>
          </w:p>
        </w:tc>
      </w:tr>
      <w:tr w:rsidR="002D4864" w:rsidRPr="00620F58" w14:paraId="27414DA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74EED97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113</w:t>
            </w:r>
          </w:p>
        </w:tc>
        <w:tc>
          <w:tcPr>
            <w:tcW w:w="1845" w:type="dxa"/>
            <w:tcBorders>
              <w:top w:val="nil"/>
              <w:left w:val="nil"/>
              <w:bottom w:val="single" w:sz="4" w:space="0" w:color="auto"/>
              <w:right w:val="single" w:sz="4" w:space="0" w:color="auto"/>
            </w:tcBorders>
            <w:shd w:val="clear" w:color="000000" w:fill="FFFFFF"/>
            <w:noWrap/>
            <w:vAlign w:val="bottom"/>
            <w:hideMark/>
          </w:tcPr>
          <w:p w14:paraId="0A18AD41"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FBB4AFC"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proofErr w:type="spellStart"/>
            <w:r w:rsidRPr="002D4864">
              <w:rPr>
                <w:rFonts w:ascii="Times New Roman" w:eastAsia="Times New Roman" w:hAnsi="Times New Roman" w:cs="Times New Roman"/>
                <w:sz w:val="22"/>
                <w:szCs w:val="22"/>
              </w:rPr>
              <w:t>Tammuna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F38A479"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19,00</w:t>
            </w:r>
          </w:p>
        </w:tc>
        <w:tc>
          <w:tcPr>
            <w:tcW w:w="1120" w:type="dxa"/>
            <w:tcBorders>
              <w:top w:val="nil"/>
              <w:left w:val="nil"/>
              <w:bottom w:val="single" w:sz="4" w:space="0" w:color="auto"/>
              <w:right w:val="single" w:sz="4" w:space="0" w:color="auto"/>
            </w:tcBorders>
            <w:shd w:val="clear" w:color="000000" w:fill="FFFFFF"/>
            <w:noWrap/>
            <w:vAlign w:val="bottom"/>
            <w:hideMark/>
          </w:tcPr>
          <w:p w14:paraId="3B0AAAC5"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4,00</w:t>
            </w:r>
          </w:p>
        </w:tc>
        <w:tc>
          <w:tcPr>
            <w:tcW w:w="1140" w:type="dxa"/>
            <w:tcBorders>
              <w:top w:val="nil"/>
              <w:left w:val="nil"/>
              <w:bottom w:val="single" w:sz="4" w:space="0" w:color="auto"/>
              <w:right w:val="single" w:sz="4" w:space="0" w:color="auto"/>
            </w:tcBorders>
            <w:shd w:val="clear" w:color="000000" w:fill="FFFFFF"/>
            <w:noWrap/>
            <w:vAlign w:val="bottom"/>
            <w:hideMark/>
          </w:tcPr>
          <w:p w14:paraId="2346284D"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15,00</w:t>
            </w:r>
          </w:p>
        </w:tc>
        <w:tc>
          <w:tcPr>
            <w:tcW w:w="1120" w:type="dxa"/>
            <w:tcBorders>
              <w:top w:val="nil"/>
              <w:left w:val="nil"/>
              <w:bottom w:val="single" w:sz="4" w:space="0" w:color="auto"/>
              <w:right w:val="single" w:sz="4" w:space="0" w:color="auto"/>
            </w:tcBorders>
            <w:shd w:val="clear" w:color="000000" w:fill="FFFFFF"/>
            <w:noWrap/>
            <w:vAlign w:val="bottom"/>
            <w:hideMark/>
          </w:tcPr>
          <w:p w14:paraId="5584D88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3,50</w:t>
            </w:r>
          </w:p>
        </w:tc>
        <w:tc>
          <w:tcPr>
            <w:tcW w:w="931" w:type="dxa"/>
            <w:tcBorders>
              <w:top w:val="nil"/>
              <w:left w:val="nil"/>
              <w:bottom w:val="single" w:sz="4" w:space="0" w:color="auto"/>
              <w:right w:val="single" w:sz="4" w:space="0" w:color="auto"/>
            </w:tcBorders>
            <w:shd w:val="clear" w:color="000000" w:fill="FFFFFF"/>
            <w:noWrap/>
            <w:vAlign w:val="bottom"/>
            <w:hideMark/>
          </w:tcPr>
          <w:p w14:paraId="64749D78"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39,00</w:t>
            </w:r>
          </w:p>
        </w:tc>
        <w:tc>
          <w:tcPr>
            <w:tcW w:w="1219" w:type="dxa"/>
            <w:tcBorders>
              <w:top w:val="nil"/>
              <w:left w:val="nil"/>
              <w:bottom w:val="single" w:sz="4" w:space="0" w:color="auto"/>
              <w:right w:val="single" w:sz="4" w:space="0" w:color="auto"/>
            </w:tcBorders>
            <w:shd w:val="clear" w:color="000000" w:fill="FFFFFF"/>
            <w:noWrap/>
            <w:vAlign w:val="bottom"/>
            <w:hideMark/>
          </w:tcPr>
          <w:p w14:paraId="68C9F549"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6,90</w:t>
            </w:r>
          </w:p>
        </w:tc>
        <w:tc>
          <w:tcPr>
            <w:tcW w:w="1075" w:type="dxa"/>
            <w:tcBorders>
              <w:top w:val="nil"/>
              <w:left w:val="nil"/>
              <w:bottom w:val="single" w:sz="4" w:space="0" w:color="auto"/>
              <w:right w:val="single" w:sz="4" w:space="0" w:color="auto"/>
            </w:tcBorders>
            <w:shd w:val="clear" w:color="000000" w:fill="FFFFFF"/>
            <w:noWrap/>
            <w:vAlign w:val="bottom"/>
            <w:hideMark/>
          </w:tcPr>
          <w:p w14:paraId="26D3D28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r>
      <w:tr w:rsidR="002D4864" w:rsidRPr="00620F58" w14:paraId="0FAD965B"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F4DD99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114</w:t>
            </w:r>
          </w:p>
        </w:tc>
        <w:tc>
          <w:tcPr>
            <w:tcW w:w="1845" w:type="dxa"/>
            <w:tcBorders>
              <w:top w:val="nil"/>
              <w:left w:val="nil"/>
              <w:bottom w:val="single" w:sz="4" w:space="0" w:color="auto"/>
              <w:right w:val="single" w:sz="4" w:space="0" w:color="auto"/>
            </w:tcBorders>
            <w:shd w:val="clear" w:color="000000" w:fill="FFFFFF"/>
            <w:noWrap/>
            <w:vAlign w:val="bottom"/>
            <w:hideMark/>
          </w:tcPr>
          <w:p w14:paraId="38A227D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FE01C3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Teesu</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13A7E03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610,00</w:t>
            </w:r>
          </w:p>
        </w:tc>
        <w:tc>
          <w:tcPr>
            <w:tcW w:w="1120" w:type="dxa"/>
            <w:tcBorders>
              <w:top w:val="nil"/>
              <w:left w:val="nil"/>
              <w:bottom w:val="single" w:sz="4" w:space="0" w:color="auto"/>
              <w:right w:val="single" w:sz="4" w:space="0" w:color="auto"/>
            </w:tcBorders>
            <w:shd w:val="clear" w:color="000000" w:fill="FFFFFF"/>
            <w:noWrap/>
            <w:vAlign w:val="bottom"/>
            <w:hideMark/>
          </w:tcPr>
          <w:p w14:paraId="2A50B30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1030,00</w:t>
            </w:r>
          </w:p>
        </w:tc>
        <w:tc>
          <w:tcPr>
            <w:tcW w:w="1140" w:type="dxa"/>
            <w:tcBorders>
              <w:top w:val="nil"/>
              <w:left w:val="nil"/>
              <w:bottom w:val="single" w:sz="4" w:space="0" w:color="auto"/>
              <w:right w:val="single" w:sz="4" w:space="0" w:color="auto"/>
            </w:tcBorders>
            <w:shd w:val="clear" w:color="000000" w:fill="FFFFFF"/>
            <w:noWrap/>
            <w:vAlign w:val="bottom"/>
            <w:hideMark/>
          </w:tcPr>
          <w:p w14:paraId="74F2189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1686,70</w:t>
            </w:r>
          </w:p>
        </w:tc>
        <w:tc>
          <w:tcPr>
            <w:tcW w:w="1120" w:type="dxa"/>
            <w:tcBorders>
              <w:top w:val="nil"/>
              <w:left w:val="nil"/>
              <w:bottom w:val="single" w:sz="4" w:space="0" w:color="auto"/>
              <w:right w:val="single" w:sz="4" w:space="0" w:color="auto"/>
            </w:tcBorders>
            <w:shd w:val="clear" w:color="000000" w:fill="FFFFFF"/>
            <w:noWrap/>
            <w:vAlign w:val="bottom"/>
            <w:hideMark/>
          </w:tcPr>
          <w:p w14:paraId="06A575E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1002,00</w:t>
            </w:r>
          </w:p>
        </w:tc>
        <w:tc>
          <w:tcPr>
            <w:tcW w:w="931" w:type="dxa"/>
            <w:tcBorders>
              <w:top w:val="nil"/>
              <w:left w:val="nil"/>
              <w:bottom w:val="single" w:sz="4" w:space="0" w:color="auto"/>
              <w:right w:val="single" w:sz="4" w:space="0" w:color="auto"/>
            </w:tcBorders>
            <w:shd w:val="clear" w:color="000000" w:fill="FFFFFF"/>
            <w:noWrap/>
            <w:vAlign w:val="bottom"/>
            <w:hideMark/>
          </w:tcPr>
          <w:p w14:paraId="14A7EE5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1691,00</w:t>
            </w:r>
          </w:p>
        </w:tc>
        <w:tc>
          <w:tcPr>
            <w:tcW w:w="1219" w:type="dxa"/>
            <w:tcBorders>
              <w:top w:val="nil"/>
              <w:left w:val="nil"/>
              <w:bottom w:val="single" w:sz="4" w:space="0" w:color="auto"/>
              <w:right w:val="single" w:sz="4" w:space="0" w:color="auto"/>
            </w:tcBorders>
            <w:shd w:val="clear" w:color="000000" w:fill="FFFFFF"/>
            <w:noWrap/>
            <w:vAlign w:val="bottom"/>
            <w:hideMark/>
          </w:tcPr>
          <w:p w14:paraId="096E480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1599,80</w:t>
            </w:r>
          </w:p>
        </w:tc>
        <w:tc>
          <w:tcPr>
            <w:tcW w:w="1075" w:type="dxa"/>
            <w:tcBorders>
              <w:top w:val="nil"/>
              <w:left w:val="nil"/>
              <w:bottom w:val="single" w:sz="4" w:space="0" w:color="auto"/>
              <w:right w:val="single" w:sz="4" w:space="0" w:color="auto"/>
            </w:tcBorders>
            <w:shd w:val="clear" w:color="000000" w:fill="FFFFFF"/>
            <w:noWrap/>
            <w:vAlign w:val="bottom"/>
            <w:hideMark/>
          </w:tcPr>
          <w:p w14:paraId="66CE33F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1171,50</w:t>
            </w:r>
          </w:p>
        </w:tc>
      </w:tr>
      <w:tr w:rsidR="002D4864" w:rsidRPr="00620F58" w14:paraId="192F858A"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16DD6E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115</w:t>
            </w:r>
          </w:p>
        </w:tc>
        <w:tc>
          <w:tcPr>
            <w:tcW w:w="1845" w:type="dxa"/>
            <w:tcBorders>
              <w:top w:val="nil"/>
              <w:left w:val="nil"/>
              <w:bottom w:val="single" w:sz="4" w:space="0" w:color="auto"/>
              <w:right w:val="single" w:sz="4" w:space="0" w:color="auto"/>
            </w:tcBorders>
            <w:shd w:val="clear" w:color="000000" w:fill="FFFFFF"/>
            <w:noWrap/>
            <w:vAlign w:val="bottom"/>
            <w:hideMark/>
          </w:tcPr>
          <w:p w14:paraId="3DDB594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22FDCDF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Tehumardi</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DD270C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502,00</w:t>
            </w:r>
          </w:p>
        </w:tc>
        <w:tc>
          <w:tcPr>
            <w:tcW w:w="1120" w:type="dxa"/>
            <w:tcBorders>
              <w:top w:val="nil"/>
              <w:left w:val="nil"/>
              <w:bottom w:val="single" w:sz="4" w:space="0" w:color="auto"/>
              <w:right w:val="single" w:sz="4" w:space="0" w:color="auto"/>
            </w:tcBorders>
            <w:shd w:val="clear" w:color="000000" w:fill="FFFFFF"/>
            <w:noWrap/>
            <w:vAlign w:val="bottom"/>
            <w:hideMark/>
          </w:tcPr>
          <w:p w14:paraId="0D3CDD5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674,80</w:t>
            </w:r>
          </w:p>
        </w:tc>
        <w:tc>
          <w:tcPr>
            <w:tcW w:w="1140" w:type="dxa"/>
            <w:tcBorders>
              <w:top w:val="nil"/>
              <w:left w:val="nil"/>
              <w:bottom w:val="single" w:sz="4" w:space="0" w:color="auto"/>
              <w:right w:val="single" w:sz="4" w:space="0" w:color="auto"/>
            </w:tcBorders>
            <w:shd w:val="clear" w:color="000000" w:fill="FFFFFF"/>
            <w:noWrap/>
            <w:vAlign w:val="bottom"/>
            <w:hideMark/>
          </w:tcPr>
          <w:p w14:paraId="7304B0E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910,94</w:t>
            </w:r>
          </w:p>
        </w:tc>
        <w:tc>
          <w:tcPr>
            <w:tcW w:w="1120" w:type="dxa"/>
            <w:tcBorders>
              <w:top w:val="nil"/>
              <w:left w:val="nil"/>
              <w:bottom w:val="single" w:sz="4" w:space="0" w:color="auto"/>
              <w:right w:val="single" w:sz="4" w:space="0" w:color="auto"/>
            </w:tcBorders>
            <w:shd w:val="clear" w:color="000000" w:fill="FFFFFF"/>
            <w:noWrap/>
            <w:vAlign w:val="bottom"/>
            <w:hideMark/>
          </w:tcPr>
          <w:p w14:paraId="1603FE7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278,40</w:t>
            </w:r>
          </w:p>
        </w:tc>
        <w:tc>
          <w:tcPr>
            <w:tcW w:w="931" w:type="dxa"/>
            <w:tcBorders>
              <w:top w:val="nil"/>
              <w:left w:val="nil"/>
              <w:bottom w:val="single" w:sz="4" w:space="0" w:color="auto"/>
              <w:right w:val="single" w:sz="4" w:space="0" w:color="auto"/>
            </w:tcBorders>
            <w:shd w:val="clear" w:color="000000" w:fill="FFFFFF"/>
            <w:noWrap/>
            <w:vAlign w:val="bottom"/>
            <w:hideMark/>
          </w:tcPr>
          <w:p w14:paraId="3244EB3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722,00</w:t>
            </w:r>
          </w:p>
        </w:tc>
        <w:tc>
          <w:tcPr>
            <w:tcW w:w="1219" w:type="dxa"/>
            <w:tcBorders>
              <w:top w:val="nil"/>
              <w:left w:val="nil"/>
              <w:bottom w:val="single" w:sz="4" w:space="0" w:color="auto"/>
              <w:right w:val="single" w:sz="4" w:space="0" w:color="auto"/>
            </w:tcBorders>
            <w:shd w:val="clear" w:color="000000" w:fill="FFFFFF"/>
            <w:noWrap/>
            <w:vAlign w:val="bottom"/>
            <w:hideMark/>
          </w:tcPr>
          <w:p w14:paraId="1900D01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679,50</w:t>
            </w:r>
          </w:p>
        </w:tc>
        <w:tc>
          <w:tcPr>
            <w:tcW w:w="1075" w:type="dxa"/>
            <w:tcBorders>
              <w:top w:val="nil"/>
              <w:left w:val="nil"/>
              <w:bottom w:val="single" w:sz="4" w:space="0" w:color="auto"/>
              <w:right w:val="single" w:sz="4" w:space="0" w:color="auto"/>
            </w:tcBorders>
            <w:shd w:val="clear" w:color="000000" w:fill="FFFFFF"/>
            <w:noWrap/>
            <w:vAlign w:val="bottom"/>
            <w:hideMark/>
          </w:tcPr>
          <w:p w14:paraId="4F3AADE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1583,20</w:t>
            </w:r>
          </w:p>
        </w:tc>
      </w:tr>
      <w:tr w:rsidR="002D4864" w:rsidRPr="00620F58" w14:paraId="259D7946"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F22BF3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116</w:t>
            </w:r>
          </w:p>
        </w:tc>
        <w:tc>
          <w:tcPr>
            <w:tcW w:w="1845" w:type="dxa"/>
            <w:tcBorders>
              <w:top w:val="nil"/>
              <w:left w:val="nil"/>
              <w:bottom w:val="single" w:sz="4" w:space="0" w:color="auto"/>
              <w:right w:val="single" w:sz="4" w:space="0" w:color="auto"/>
            </w:tcBorders>
            <w:shd w:val="clear" w:color="000000" w:fill="FFFFFF"/>
            <w:noWrap/>
            <w:vAlign w:val="bottom"/>
            <w:hideMark/>
          </w:tcPr>
          <w:p w14:paraId="030DC69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428972F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Tiirimetsa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2E0D3AB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29,00</w:t>
            </w:r>
          </w:p>
        </w:tc>
        <w:tc>
          <w:tcPr>
            <w:tcW w:w="1120" w:type="dxa"/>
            <w:tcBorders>
              <w:top w:val="nil"/>
              <w:left w:val="nil"/>
              <w:bottom w:val="single" w:sz="4" w:space="0" w:color="auto"/>
              <w:right w:val="single" w:sz="4" w:space="0" w:color="auto"/>
            </w:tcBorders>
            <w:shd w:val="clear" w:color="000000" w:fill="FFFFFF"/>
            <w:noWrap/>
            <w:vAlign w:val="bottom"/>
            <w:hideMark/>
          </w:tcPr>
          <w:p w14:paraId="4C92510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19,50</w:t>
            </w:r>
          </w:p>
        </w:tc>
        <w:tc>
          <w:tcPr>
            <w:tcW w:w="1140" w:type="dxa"/>
            <w:tcBorders>
              <w:top w:val="nil"/>
              <w:left w:val="nil"/>
              <w:bottom w:val="single" w:sz="4" w:space="0" w:color="auto"/>
              <w:right w:val="single" w:sz="4" w:space="0" w:color="auto"/>
            </w:tcBorders>
            <w:shd w:val="clear" w:color="000000" w:fill="FFFFFF"/>
            <w:noWrap/>
            <w:vAlign w:val="bottom"/>
            <w:hideMark/>
          </w:tcPr>
          <w:p w14:paraId="243C400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36704FD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000000" w:fill="FFFFFF"/>
            <w:noWrap/>
            <w:vAlign w:val="bottom"/>
            <w:hideMark/>
          </w:tcPr>
          <w:p w14:paraId="0DB4A18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38,00</w:t>
            </w:r>
          </w:p>
        </w:tc>
        <w:tc>
          <w:tcPr>
            <w:tcW w:w="1219" w:type="dxa"/>
            <w:tcBorders>
              <w:top w:val="nil"/>
              <w:left w:val="nil"/>
              <w:bottom w:val="single" w:sz="4" w:space="0" w:color="auto"/>
              <w:right w:val="single" w:sz="4" w:space="0" w:color="auto"/>
            </w:tcBorders>
            <w:shd w:val="clear" w:color="000000" w:fill="FFFFFF"/>
            <w:noWrap/>
            <w:vAlign w:val="bottom"/>
            <w:hideMark/>
          </w:tcPr>
          <w:p w14:paraId="65A5CCD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64,00</w:t>
            </w:r>
          </w:p>
        </w:tc>
        <w:tc>
          <w:tcPr>
            <w:tcW w:w="1075" w:type="dxa"/>
            <w:tcBorders>
              <w:top w:val="nil"/>
              <w:left w:val="nil"/>
              <w:bottom w:val="single" w:sz="4" w:space="0" w:color="auto"/>
              <w:right w:val="single" w:sz="4" w:space="0" w:color="auto"/>
            </w:tcBorders>
            <w:shd w:val="clear" w:color="000000" w:fill="FFFFFF"/>
            <w:noWrap/>
            <w:vAlign w:val="bottom"/>
            <w:hideMark/>
          </w:tcPr>
          <w:p w14:paraId="24B096F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47,70</w:t>
            </w:r>
          </w:p>
        </w:tc>
      </w:tr>
      <w:tr w:rsidR="002D4864" w:rsidRPr="00620F58" w14:paraId="1D7E4145"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542349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117</w:t>
            </w:r>
          </w:p>
        </w:tc>
        <w:tc>
          <w:tcPr>
            <w:tcW w:w="1845" w:type="dxa"/>
            <w:tcBorders>
              <w:top w:val="nil"/>
              <w:left w:val="nil"/>
              <w:bottom w:val="single" w:sz="4" w:space="0" w:color="auto"/>
              <w:right w:val="single" w:sz="4" w:space="0" w:color="auto"/>
            </w:tcBorders>
            <w:shd w:val="clear" w:color="000000" w:fill="FFFFFF"/>
            <w:noWrap/>
            <w:vAlign w:val="bottom"/>
            <w:hideMark/>
          </w:tcPr>
          <w:p w14:paraId="77E86D9A"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2AC1AA9A"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 xml:space="preserve">Toomalõuka </w:t>
            </w:r>
          </w:p>
        </w:tc>
        <w:tc>
          <w:tcPr>
            <w:tcW w:w="1075" w:type="dxa"/>
            <w:tcBorders>
              <w:top w:val="nil"/>
              <w:left w:val="nil"/>
              <w:bottom w:val="single" w:sz="4" w:space="0" w:color="auto"/>
              <w:right w:val="single" w:sz="4" w:space="0" w:color="auto"/>
            </w:tcBorders>
            <w:shd w:val="clear" w:color="000000" w:fill="FFFFFF"/>
            <w:noWrap/>
            <w:vAlign w:val="bottom"/>
            <w:hideMark/>
          </w:tcPr>
          <w:p w14:paraId="62BAA0F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2CBD5D4D"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36,00</w:t>
            </w:r>
          </w:p>
        </w:tc>
        <w:tc>
          <w:tcPr>
            <w:tcW w:w="1140" w:type="dxa"/>
            <w:tcBorders>
              <w:top w:val="nil"/>
              <w:left w:val="nil"/>
              <w:bottom w:val="single" w:sz="4" w:space="0" w:color="auto"/>
              <w:right w:val="single" w:sz="4" w:space="0" w:color="auto"/>
            </w:tcBorders>
            <w:shd w:val="clear" w:color="000000" w:fill="FFFFFF"/>
            <w:noWrap/>
            <w:vAlign w:val="bottom"/>
            <w:hideMark/>
          </w:tcPr>
          <w:p w14:paraId="77B1105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64,00</w:t>
            </w:r>
          </w:p>
        </w:tc>
        <w:tc>
          <w:tcPr>
            <w:tcW w:w="1120" w:type="dxa"/>
            <w:tcBorders>
              <w:top w:val="nil"/>
              <w:left w:val="nil"/>
              <w:bottom w:val="single" w:sz="4" w:space="0" w:color="auto"/>
              <w:right w:val="single" w:sz="4" w:space="0" w:color="auto"/>
            </w:tcBorders>
            <w:shd w:val="clear" w:color="000000" w:fill="FFFFFF"/>
            <w:noWrap/>
            <w:vAlign w:val="bottom"/>
            <w:hideMark/>
          </w:tcPr>
          <w:p w14:paraId="5ECCAA60"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85,50</w:t>
            </w:r>
          </w:p>
        </w:tc>
        <w:tc>
          <w:tcPr>
            <w:tcW w:w="931" w:type="dxa"/>
            <w:tcBorders>
              <w:top w:val="nil"/>
              <w:left w:val="nil"/>
              <w:bottom w:val="single" w:sz="4" w:space="0" w:color="auto"/>
              <w:right w:val="single" w:sz="4" w:space="0" w:color="auto"/>
            </w:tcBorders>
            <w:shd w:val="clear" w:color="000000" w:fill="FFFFFF"/>
            <w:noWrap/>
            <w:vAlign w:val="bottom"/>
            <w:hideMark/>
          </w:tcPr>
          <w:p w14:paraId="6CB11DE2"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115,00</w:t>
            </w:r>
          </w:p>
        </w:tc>
        <w:tc>
          <w:tcPr>
            <w:tcW w:w="1219" w:type="dxa"/>
            <w:tcBorders>
              <w:top w:val="nil"/>
              <w:left w:val="nil"/>
              <w:bottom w:val="single" w:sz="4" w:space="0" w:color="auto"/>
              <w:right w:val="single" w:sz="4" w:space="0" w:color="auto"/>
            </w:tcBorders>
            <w:shd w:val="clear" w:color="000000" w:fill="FFFFFF"/>
            <w:noWrap/>
            <w:vAlign w:val="bottom"/>
            <w:hideMark/>
          </w:tcPr>
          <w:p w14:paraId="61D44E5A"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116,50</w:t>
            </w:r>
          </w:p>
        </w:tc>
        <w:tc>
          <w:tcPr>
            <w:tcW w:w="1075" w:type="dxa"/>
            <w:tcBorders>
              <w:top w:val="nil"/>
              <w:left w:val="nil"/>
              <w:bottom w:val="single" w:sz="4" w:space="0" w:color="auto"/>
              <w:right w:val="single" w:sz="4" w:space="0" w:color="auto"/>
            </w:tcBorders>
            <w:shd w:val="clear" w:color="000000" w:fill="FFFFFF"/>
            <w:noWrap/>
            <w:vAlign w:val="bottom"/>
            <w:hideMark/>
          </w:tcPr>
          <w:p w14:paraId="28CEB83A"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65,00</w:t>
            </w:r>
          </w:p>
        </w:tc>
      </w:tr>
      <w:tr w:rsidR="002D4864" w:rsidRPr="00620F58" w14:paraId="7CA00A8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F9AB06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lastRenderedPageBreak/>
              <w:t>118</w:t>
            </w:r>
          </w:p>
        </w:tc>
        <w:tc>
          <w:tcPr>
            <w:tcW w:w="1845" w:type="dxa"/>
            <w:tcBorders>
              <w:top w:val="nil"/>
              <w:left w:val="nil"/>
              <w:bottom w:val="single" w:sz="4" w:space="0" w:color="auto"/>
              <w:right w:val="single" w:sz="4" w:space="0" w:color="auto"/>
            </w:tcBorders>
            <w:shd w:val="clear" w:color="000000" w:fill="FFFFFF"/>
            <w:noWrap/>
            <w:vAlign w:val="bottom"/>
            <w:hideMark/>
          </w:tcPr>
          <w:p w14:paraId="3C6D81E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01D871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Tori</w:t>
            </w:r>
          </w:p>
        </w:tc>
        <w:tc>
          <w:tcPr>
            <w:tcW w:w="1075" w:type="dxa"/>
            <w:tcBorders>
              <w:top w:val="nil"/>
              <w:left w:val="nil"/>
              <w:bottom w:val="single" w:sz="4" w:space="0" w:color="auto"/>
              <w:right w:val="single" w:sz="4" w:space="0" w:color="auto"/>
            </w:tcBorders>
            <w:shd w:val="clear" w:color="000000" w:fill="FFFFFF"/>
            <w:noWrap/>
            <w:vAlign w:val="bottom"/>
            <w:hideMark/>
          </w:tcPr>
          <w:p w14:paraId="17D5113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8641,00</w:t>
            </w:r>
          </w:p>
        </w:tc>
        <w:tc>
          <w:tcPr>
            <w:tcW w:w="1120" w:type="dxa"/>
            <w:tcBorders>
              <w:top w:val="nil"/>
              <w:left w:val="nil"/>
              <w:bottom w:val="single" w:sz="4" w:space="0" w:color="auto"/>
              <w:right w:val="single" w:sz="4" w:space="0" w:color="auto"/>
            </w:tcBorders>
            <w:shd w:val="clear" w:color="000000" w:fill="FFFFFF"/>
            <w:noWrap/>
            <w:vAlign w:val="bottom"/>
            <w:hideMark/>
          </w:tcPr>
          <w:p w14:paraId="640349B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2629,50</w:t>
            </w:r>
          </w:p>
        </w:tc>
        <w:tc>
          <w:tcPr>
            <w:tcW w:w="1140" w:type="dxa"/>
            <w:tcBorders>
              <w:top w:val="nil"/>
              <w:left w:val="nil"/>
              <w:bottom w:val="single" w:sz="4" w:space="0" w:color="auto"/>
              <w:right w:val="single" w:sz="4" w:space="0" w:color="auto"/>
            </w:tcBorders>
            <w:shd w:val="clear" w:color="000000" w:fill="FFFFFF"/>
            <w:noWrap/>
            <w:vAlign w:val="bottom"/>
            <w:hideMark/>
          </w:tcPr>
          <w:p w14:paraId="6D2FFBA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1713,00</w:t>
            </w:r>
          </w:p>
        </w:tc>
        <w:tc>
          <w:tcPr>
            <w:tcW w:w="1120" w:type="dxa"/>
            <w:tcBorders>
              <w:top w:val="nil"/>
              <w:left w:val="nil"/>
              <w:bottom w:val="single" w:sz="4" w:space="0" w:color="auto"/>
              <w:right w:val="single" w:sz="4" w:space="0" w:color="auto"/>
            </w:tcBorders>
            <w:shd w:val="clear" w:color="000000" w:fill="FFFFFF"/>
            <w:noWrap/>
            <w:vAlign w:val="bottom"/>
            <w:hideMark/>
          </w:tcPr>
          <w:p w14:paraId="64D5E70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173,00</w:t>
            </w:r>
          </w:p>
        </w:tc>
        <w:tc>
          <w:tcPr>
            <w:tcW w:w="931" w:type="dxa"/>
            <w:tcBorders>
              <w:top w:val="nil"/>
              <w:left w:val="nil"/>
              <w:bottom w:val="single" w:sz="4" w:space="0" w:color="auto"/>
              <w:right w:val="single" w:sz="4" w:space="0" w:color="auto"/>
            </w:tcBorders>
            <w:shd w:val="clear" w:color="000000" w:fill="FFFFFF"/>
            <w:noWrap/>
            <w:vAlign w:val="bottom"/>
            <w:hideMark/>
          </w:tcPr>
          <w:p w14:paraId="7D0D85C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328,00</w:t>
            </w:r>
          </w:p>
        </w:tc>
        <w:tc>
          <w:tcPr>
            <w:tcW w:w="1219" w:type="dxa"/>
            <w:tcBorders>
              <w:top w:val="nil"/>
              <w:left w:val="nil"/>
              <w:bottom w:val="single" w:sz="4" w:space="0" w:color="auto"/>
              <w:right w:val="single" w:sz="4" w:space="0" w:color="auto"/>
            </w:tcBorders>
            <w:shd w:val="clear" w:color="000000" w:fill="FFFFFF"/>
            <w:noWrap/>
            <w:vAlign w:val="bottom"/>
            <w:hideMark/>
          </w:tcPr>
          <w:p w14:paraId="0AD336D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1379,50</w:t>
            </w:r>
          </w:p>
        </w:tc>
        <w:tc>
          <w:tcPr>
            <w:tcW w:w="1075" w:type="dxa"/>
            <w:tcBorders>
              <w:top w:val="nil"/>
              <w:left w:val="nil"/>
              <w:bottom w:val="single" w:sz="4" w:space="0" w:color="auto"/>
              <w:right w:val="single" w:sz="4" w:space="0" w:color="auto"/>
            </w:tcBorders>
            <w:shd w:val="clear" w:color="000000" w:fill="FFFFFF"/>
            <w:noWrap/>
            <w:vAlign w:val="bottom"/>
            <w:hideMark/>
          </w:tcPr>
          <w:p w14:paraId="63EC55A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454,50</w:t>
            </w:r>
          </w:p>
        </w:tc>
      </w:tr>
      <w:tr w:rsidR="002D4864" w:rsidRPr="00620F58" w14:paraId="7AD3A8CC"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2C0520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119</w:t>
            </w:r>
          </w:p>
        </w:tc>
        <w:tc>
          <w:tcPr>
            <w:tcW w:w="1845" w:type="dxa"/>
            <w:tcBorders>
              <w:top w:val="nil"/>
              <w:left w:val="nil"/>
              <w:bottom w:val="single" w:sz="4" w:space="0" w:color="auto"/>
              <w:right w:val="single" w:sz="4" w:space="0" w:color="auto"/>
            </w:tcBorders>
            <w:shd w:val="clear" w:color="000000" w:fill="FFFFFF"/>
            <w:noWrap/>
            <w:vAlign w:val="bottom"/>
            <w:hideMark/>
          </w:tcPr>
          <w:p w14:paraId="4717BBE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74911D5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Tori jõesadam</w:t>
            </w:r>
          </w:p>
        </w:tc>
        <w:tc>
          <w:tcPr>
            <w:tcW w:w="1075" w:type="dxa"/>
            <w:tcBorders>
              <w:top w:val="nil"/>
              <w:left w:val="nil"/>
              <w:bottom w:val="single" w:sz="4" w:space="0" w:color="auto"/>
              <w:right w:val="single" w:sz="4" w:space="0" w:color="auto"/>
            </w:tcBorders>
            <w:shd w:val="clear" w:color="000000" w:fill="FFFFFF"/>
            <w:noWrap/>
            <w:vAlign w:val="bottom"/>
            <w:hideMark/>
          </w:tcPr>
          <w:p w14:paraId="7E2016F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10080,30</w:t>
            </w:r>
          </w:p>
        </w:tc>
        <w:tc>
          <w:tcPr>
            <w:tcW w:w="1120" w:type="dxa"/>
            <w:tcBorders>
              <w:top w:val="nil"/>
              <w:left w:val="nil"/>
              <w:bottom w:val="single" w:sz="4" w:space="0" w:color="auto"/>
              <w:right w:val="single" w:sz="4" w:space="0" w:color="auto"/>
            </w:tcBorders>
            <w:shd w:val="clear" w:color="000000" w:fill="FFFFFF"/>
            <w:noWrap/>
            <w:vAlign w:val="bottom"/>
            <w:hideMark/>
          </w:tcPr>
          <w:p w14:paraId="301E7CD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5125,10</w:t>
            </w:r>
          </w:p>
        </w:tc>
        <w:tc>
          <w:tcPr>
            <w:tcW w:w="1140" w:type="dxa"/>
            <w:tcBorders>
              <w:top w:val="nil"/>
              <w:left w:val="nil"/>
              <w:bottom w:val="single" w:sz="4" w:space="0" w:color="auto"/>
              <w:right w:val="single" w:sz="4" w:space="0" w:color="auto"/>
            </w:tcBorders>
            <w:shd w:val="clear" w:color="000000" w:fill="FFFFFF"/>
            <w:noWrap/>
            <w:vAlign w:val="bottom"/>
            <w:hideMark/>
          </w:tcPr>
          <w:p w14:paraId="1CA72B7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10534,10</w:t>
            </w:r>
          </w:p>
        </w:tc>
        <w:tc>
          <w:tcPr>
            <w:tcW w:w="1120" w:type="dxa"/>
            <w:tcBorders>
              <w:top w:val="nil"/>
              <w:left w:val="nil"/>
              <w:bottom w:val="single" w:sz="4" w:space="0" w:color="auto"/>
              <w:right w:val="single" w:sz="4" w:space="0" w:color="auto"/>
            </w:tcBorders>
            <w:shd w:val="clear" w:color="000000" w:fill="FFFFFF"/>
            <w:noWrap/>
            <w:vAlign w:val="bottom"/>
            <w:hideMark/>
          </w:tcPr>
          <w:p w14:paraId="543BC11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11622,50</w:t>
            </w:r>
          </w:p>
        </w:tc>
        <w:tc>
          <w:tcPr>
            <w:tcW w:w="931" w:type="dxa"/>
            <w:tcBorders>
              <w:top w:val="nil"/>
              <w:left w:val="nil"/>
              <w:bottom w:val="single" w:sz="4" w:space="0" w:color="auto"/>
              <w:right w:val="single" w:sz="4" w:space="0" w:color="auto"/>
            </w:tcBorders>
            <w:shd w:val="clear" w:color="000000" w:fill="FFFFFF"/>
            <w:noWrap/>
            <w:vAlign w:val="bottom"/>
            <w:hideMark/>
          </w:tcPr>
          <w:p w14:paraId="136B33B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15844,00</w:t>
            </w:r>
          </w:p>
        </w:tc>
        <w:tc>
          <w:tcPr>
            <w:tcW w:w="1219" w:type="dxa"/>
            <w:tcBorders>
              <w:top w:val="nil"/>
              <w:left w:val="nil"/>
              <w:bottom w:val="single" w:sz="4" w:space="0" w:color="auto"/>
              <w:right w:val="single" w:sz="4" w:space="0" w:color="auto"/>
            </w:tcBorders>
            <w:shd w:val="clear" w:color="000000" w:fill="FFFFFF"/>
            <w:noWrap/>
            <w:vAlign w:val="bottom"/>
            <w:hideMark/>
          </w:tcPr>
          <w:p w14:paraId="12AB112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9889,00</w:t>
            </w:r>
          </w:p>
        </w:tc>
        <w:tc>
          <w:tcPr>
            <w:tcW w:w="1075" w:type="dxa"/>
            <w:tcBorders>
              <w:top w:val="nil"/>
              <w:left w:val="nil"/>
              <w:bottom w:val="single" w:sz="4" w:space="0" w:color="auto"/>
              <w:right w:val="single" w:sz="4" w:space="0" w:color="auto"/>
            </w:tcBorders>
            <w:shd w:val="clear" w:color="000000" w:fill="FFFFFF"/>
            <w:noWrap/>
            <w:vAlign w:val="bottom"/>
            <w:hideMark/>
          </w:tcPr>
          <w:p w14:paraId="47BEB93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12425,60</w:t>
            </w:r>
          </w:p>
        </w:tc>
      </w:tr>
      <w:tr w:rsidR="002D4864" w:rsidRPr="00620F58" w14:paraId="1FCCDF35"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24FFA10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120</w:t>
            </w:r>
          </w:p>
        </w:tc>
        <w:tc>
          <w:tcPr>
            <w:tcW w:w="1845" w:type="dxa"/>
            <w:tcBorders>
              <w:top w:val="nil"/>
              <w:left w:val="nil"/>
              <w:bottom w:val="single" w:sz="4" w:space="0" w:color="auto"/>
              <w:right w:val="single" w:sz="4" w:space="0" w:color="auto"/>
            </w:tcBorders>
            <w:shd w:val="clear" w:color="000000" w:fill="FFFFFF"/>
            <w:noWrap/>
            <w:vAlign w:val="bottom"/>
            <w:hideMark/>
          </w:tcPr>
          <w:p w14:paraId="7DD2752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0DE5DFB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Triigi sadam</w:t>
            </w:r>
          </w:p>
        </w:tc>
        <w:tc>
          <w:tcPr>
            <w:tcW w:w="1075" w:type="dxa"/>
            <w:tcBorders>
              <w:top w:val="nil"/>
              <w:left w:val="nil"/>
              <w:bottom w:val="single" w:sz="4" w:space="0" w:color="auto"/>
              <w:right w:val="single" w:sz="4" w:space="0" w:color="auto"/>
            </w:tcBorders>
            <w:shd w:val="clear" w:color="000000" w:fill="FFFFFF"/>
            <w:noWrap/>
            <w:vAlign w:val="bottom"/>
            <w:hideMark/>
          </w:tcPr>
          <w:p w14:paraId="46C45B4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4671,60</w:t>
            </w:r>
          </w:p>
        </w:tc>
        <w:tc>
          <w:tcPr>
            <w:tcW w:w="1120" w:type="dxa"/>
            <w:tcBorders>
              <w:top w:val="nil"/>
              <w:left w:val="nil"/>
              <w:bottom w:val="single" w:sz="4" w:space="0" w:color="auto"/>
              <w:right w:val="single" w:sz="4" w:space="0" w:color="auto"/>
            </w:tcBorders>
            <w:shd w:val="clear" w:color="000000" w:fill="FFFFFF"/>
            <w:noWrap/>
            <w:vAlign w:val="bottom"/>
            <w:hideMark/>
          </w:tcPr>
          <w:p w14:paraId="75EF816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1044,50</w:t>
            </w:r>
          </w:p>
        </w:tc>
        <w:tc>
          <w:tcPr>
            <w:tcW w:w="1140" w:type="dxa"/>
            <w:tcBorders>
              <w:top w:val="nil"/>
              <w:left w:val="nil"/>
              <w:bottom w:val="single" w:sz="4" w:space="0" w:color="auto"/>
              <w:right w:val="single" w:sz="4" w:space="0" w:color="auto"/>
            </w:tcBorders>
            <w:shd w:val="clear" w:color="000000" w:fill="FFFFFF"/>
            <w:noWrap/>
            <w:vAlign w:val="bottom"/>
            <w:hideMark/>
          </w:tcPr>
          <w:p w14:paraId="0044EE0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890,20</w:t>
            </w:r>
          </w:p>
        </w:tc>
        <w:tc>
          <w:tcPr>
            <w:tcW w:w="1120" w:type="dxa"/>
            <w:tcBorders>
              <w:top w:val="nil"/>
              <w:left w:val="nil"/>
              <w:bottom w:val="single" w:sz="4" w:space="0" w:color="auto"/>
              <w:right w:val="single" w:sz="4" w:space="0" w:color="auto"/>
            </w:tcBorders>
            <w:shd w:val="clear" w:color="000000" w:fill="FFFFFF"/>
            <w:noWrap/>
            <w:vAlign w:val="bottom"/>
            <w:hideMark/>
          </w:tcPr>
          <w:p w14:paraId="6F6BEAF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1032,20</w:t>
            </w:r>
          </w:p>
        </w:tc>
        <w:tc>
          <w:tcPr>
            <w:tcW w:w="931" w:type="dxa"/>
            <w:tcBorders>
              <w:top w:val="nil"/>
              <w:left w:val="nil"/>
              <w:bottom w:val="single" w:sz="4" w:space="0" w:color="auto"/>
              <w:right w:val="single" w:sz="4" w:space="0" w:color="auto"/>
            </w:tcBorders>
            <w:shd w:val="clear" w:color="000000" w:fill="FFFFFF"/>
            <w:noWrap/>
            <w:vAlign w:val="bottom"/>
            <w:hideMark/>
          </w:tcPr>
          <w:p w14:paraId="1A20F11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2583,00</w:t>
            </w:r>
          </w:p>
        </w:tc>
        <w:tc>
          <w:tcPr>
            <w:tcW w:w="1219" w:type="dxa"/>
            <w:tcBorders>
              <w:top w:val="nil"/>
              <w:left w:val="nil"/>
              <w:bottom w:val="single" w:sz="4" w:space="0" w:color="auto"/>
              <w:right w:val="single" w:sz="4" w:space="0" w:color="auto"/>
            </w:tcBorders>
            <w:shd w:val="clear" w:color="000000" w:fill="FFFFFF"/>
            <w:noWrap/>
            <w:vAlign w:val="bottom"/>
            <w:hideMark/>
          </w:tcPr>
          <w:p w14:paraId="7CCD3FB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2254,90</w:t>
            </w:r>
          </w:p>
        </w:tc>
        <w:tc>
          <w:tcPr>
            <w:tcW w:w="1075" w:type="dxa"/>
            <w:tcBorders>
              <w:top w:val="nil"/>
              <w:left w:val="nil"/>
              <w:bottom w:val="single" w:sz="4" w:space="0" w:color="auto"/>
              <w:right w:val="single" w:sz="4" w:space="0" w:color="auto"/>
            </w:tcBorders>
            <w:shd w:val="clear" w:color="000000" w:fill="FFFFFF"/>
            <w:noWrap/>
            <w:vAlign w:val="bottom"/>
            <w:hideMark/>
          </w:tcPr>
          <w:p w14:paraId="69132DB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1842,10</w:t>
            </w:r>
          </w:p>
        </w:tc>
      </w:tr>
      <w:tr w:rsidR="002D4864" w:rsidRPr="00620F58" w14:paraId="4737C89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19BAA0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121</w:t>
            </w:r>
          </w:p>
        </w:tc>
        <w:tc>
          <w:tcPr>
            <w:tcW w:w="1845" w:type="dxa"/>
            <w:tcBorders>
              <w:top w:val="nil"/>
              <w:left w:val="nil"/>
              <w:bottom w:val="single" w:sz="4" w:space="0" w:color="auto"/>
              <w:right w:val="single" w:sz="4" w:space="0" w:color="auto"/>
            </w:tcBorders>
            <w:shd w:val="clear" w:color="000000" w:fill="FFFFFF"/>
            <w:noWrap/>
            <w:vAlign w:val="bottom"/>
            <w:hideMark/>
          </w:tcPr>
          <w:p w14:paraId="1BD79E99"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9EC204F" w14:textId="77777777" w:rsidR="002D4864" w:rsidRPr="002D4864" w:rsidRDefault="002D4864" w:rsidP="002D4864">
            <w:pPr>
              <w:suppressAutoHyphens w:val="0"/>
              <w:spacing w:after="0"/>
              <w:jc w:val="left"/>
              <w:rPr>
                <w:rFonts w:ascii="Times New Roman" w:eastAsia="Times New Roman" w:hAnsi="Times New Roman" w:cs="Times New Roman"/>
                <w:sz w:val="22"/>
                <w:szCs w:val="22"/>
              </w:rPr>
            </w:pPr>
            <w:proofErr w:type="spellStart"/>
            <w:r w:rsidRPr="002D4864">
              <w:rPr>
                <w:rFonts w:ascii="Times New Roman" w:eastAsia="Times New Roman" w:hAnsi="Times New Roman" w:cs="Times New Roman"/>
                <w:sz w:val="22"/>
                <w:szCs w:val="22"/>
              </w:rPr>
              <w:t>Tuhkana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32A0508A"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4B3E8FCE"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3A1FAB3A"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6BF89E4B"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135,00</w:t>
            </w:r>
          </w:p>
        </w:tc>
        <w:tc>
          <w:tcPr>
            <w:tcW w:w="931" w:type="dxa"/>
            <w:tcBorders>
              <w:top w:val="nil"/>
              <w:left w:val="nil"/>
              <w:bottom w:val="single" w:sz="4" w:space="0" w:color="auto"/>
              <w:right w:val="single" w:sz="4" w:space="0" w:color="auto"/>
            </w:tcBorders>
            <w:shd w:val="clear" w:color="000000" w:fill="FFFFFF"/>
            <w:noWrap/>
            <w:vAlign w:val="bottom"/>
            <w:hideMark/>
          </w:tcPr>
          <w:p w14:paraId="3BDD955D"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480,00</w:t>
            </w:r>
          </w:p>
        </w:tc>
        <w:tc>
          <w:tcPr>
            <w:tcW w:w="1219" w:type="dxa"/>
            <w:tcBorders>
              <w:top w:val="nil"/>
              <w:left w:val="nil"/>
              <w:bottom w:val="single" w:sz="4" w:space="0" w:color="auto"/>
              <w:right w:val="single" w:sz="4" w:space="0" w:color="auto"/>
            </w:tcBorders>
            <w:shd w:val="clear" w:color="000000" w:fill="FFFFFF"/>
            <w:noWrap/>
            <w:vAlign w:val="bottom"/>
            <w:hideMark/>
          </w:tcPr>
          <w:p w14:paraId="3EB7DCD6"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137,00</w:t>
            </w:r>
          </w:p>
        </w:tc>
        <w:tc>
          <w:tcPr>
            <w:tcW w:w="1075" w:type="dxa"/>
            <w:tcBorders>
              <w:top w:val="nil"/>
              <w:left w:val="nil"/>
              <w:bottom w:val="single" w:sz="4" w:space="0" w:color="auto"/>
              <w:right w:val="single" w:sz="4" w:space="0" w:color="auto"/>
            </w:tcBorders>
            <w:shd w:val="clear" w:color="000000" w:fill="FFFFFF"/>
            <w:noWrap/>
            <w:vAlign w:val="bottom"/>
            <w:hideMark/>
          </w:tcPr>
          <w:p w14:paraId="2E9FE598" w14:textId="77777777" w:rsidR="002D4864" w:rsidRPr="002D4864" w:rsidRDefault="002D4864" w:rsidP="002D4864">
            <w:pPr>
              <w:suppressAutoHyphens w:val="0"/>
              <w:spacing w:after="0"/>
              <w:jc w:val="right"/>
              <w:rPr>
                <w:rFonts w:ascii="Times New Roman" w:eastAsia="Times New Roman" w:hAnsi="Times New Roman" w:cs="Times New Roman"/>
                <w:sz w:val="22"/>
                <w:szCs w:val="22"/>
              </w:rPr>
            </w:pPr>
            <w:r w:rsidRPr="002D4864">
              <w:rPr>
                <w:rFonts w:ascii="Times New Roman" w:eastAsia="Times New Roman" w:hAnsi="Times New Roman" w:cs="Times New Roman"/>
                <w:sz w:val="22"/>
                <w:szCs w:val="22"/>
              </w:rPr>
              <w:t>192,00</w:t>
            </w:r>
          </w:p>
        </w:tc>
      </w:tr>
      <w:tr w:rsidR="002D4864" w:rsidRPr="00620F58" w14:paraId="4BFB76F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2182B6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122</w:t>
            </w:r>
          </w:p>
        </w:tc>
        <w:tc>
          <w:tcPr>
            <w:tcW w:w="1845" w:type="dxa"/>
            <w:tcBorders>
              <w:top w:val="nil"/>
              <w:left w:val="nil"/>
              <w:bottom w:val="single" w:sz="4" w:space="0" w:color="auto"/>
              <w:right w:val="single" w:sz="4" w:space="0" w:color="auto"/>
            </w:tcBorders>
            <w:shd w:val="clear" w:color="000000" w:fill="FFFFFF"/>
            <w:noWrap/>
            <w:vAlign w:val="bottom"/>
            <w:hideMark/>
          </w:tcPr>
          <w:p w14:paraId="34466F6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0D2D945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Turja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28A0D57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11185,50</w:t>
            </w:r>
          </w:p>
        </w:tc>
        <w:tc>
          <w:tcPr>
            <w:tcW w:w="1120" w:type="dxa"/>
            <w:tcBorders>
              <w:top w:val="nil"/>
              <w:left w:val="nil"/>
              <w:bottom w:val="single" w:sz="4" w:space="0" w:color="auto"/>
              <w:right w:val="single" w:sz="4" w:space="0" w:color="auto"/>
            </w:tcBorders>
            <w:shd w:val="clear" w:color="000000" w:fill="FFFFFF"/>
            <w:noWrap/>
            <w:vAlign w:val="bottom"/>
            <w:hideMark/>
          </w:tcPr>
          <w:p w14:paraId="3D2982A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11379,49</w:t>
            </w:r>
          </w:p>
        </w:tc>
        <w:tc>
          <w:tcPr>
            <w:tcW w:w="1140" w:type="dxa"/>
            <w:tcBorders>
              <w:top w:val="nil"/>
              <w:left w:val="nil"/>
              <w:bottom w:val="single" w:sz="4" w:space="0" w:color="auto"/>
              <w:right w:val="single" w:sz="4" w:space="0" w:color="auto"/>
            </w:tcBorders>
            <w:shd w:val="clear" w:color="000000" w:fill="FFFFFF"/>
            <w:noWrap/>
            <w:vAlign w:val="bottom"/>
            <w:hideMark/>
          </w:tcPr>
          <w:p w14:paraId="7C87283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14123,50</w:t>
            </w:r>
          </w:p>
        </w:tc>
        <w:tc>
          <w:tcPr>
            <w:tcW w:w="1120" w:type="dxa"/>
            <w:tcBorders>
              <w:top w:val="nil"/>
              <w:left w:val="nil"/>
              <w:bottom w:val="single" w:sz="4" w:space="0" w:color="auto"/>
              <w:right w:val="single" w:sz="4" w:space="0" w:color="auto"/>
            </w:tcBorders>
            <w:shd w:val="clear" w:color="000000" w:fill="FFFFFF"/>
            <w:noWrap/>
            <w:vAlign w:val="bottom"/>
            <w:hideMark/>
          </w:tcPr>
          <w:p w14:paraId="681FED5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15132,60</w:t>
            </w:r>
          </w:p>
        </w:tc>
        <w:tc>
          <w:tcPr>
            <w:tcW w:w="931" w:type="dxa"/>
            <w:tcBorders>
              <w:top w:val="nil"/>
              <w:left w:val="nil"/>
              <w:bottom w:val="single" w:sz="4" w:space="0" w:color="auto"/>
              <w:right w:val="single" w:sz="4" w:space="0" w:color="auto"/>
            </w:tcBorders>
            <w:shd w:val="clear" w:color="000000" w:fill="FFFFFF"/>
            <w:noWrap/>
            <w:vAlign w:val="bottom"/>
            <w:hideMark/>
          </w:tcPr>
          <w:p w14:paraId="2BE06D7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10432,00</w:t>
            </w:r>
          </w:p>
        </w:tc>
        <w:tc>
          <w:tcPr>
            <w:tcW w:w="1219" w:type="dxa"/>
            <w:tcBorders>
              <w:top w:val="nil"/>
              <w:left w:val="nil"/>
              <w:bottom w:val="single" w:sz="4" w:space="0" w:color="auto"/>
              <w:right w:val="single" w:sz="4" w:space="0" w:color="auto"/>
            </w:tcBorders>
            <w:shd w:val="clear" w:color="000000" w:fill="FFFFFF"/>
            <w:noWrap/>
            <w:vAlign w:val="bottom"/>
            <w:hideMark/>
          </w:tcPr>
          <w:p w14:paraId="5BD4E9D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8672,40</w:t>
            </w:r>
          </w:p>
        </w:tc>
        <w:tc>
          <w:tcPr>
            <w:tcW w:w="1075" w:type="dxa"/>
            <w:tcBorders>
              <w:top w:val="nil"/>
              <w:left w:val="nil"/>
              <w:bottom w:val="single" w:sz="4" w:space="0" w:color="auto"/>
              <w:right w:val="single" w:sz="4" w:space="0" w:color="auto"/>
            </w:tcBorders>
            <w:shd w:val="clear" w:color="000000" w:fill="FFFFFF"/>
            <w:noWrap/>
            <w:vAlign w:val="bottom"/>
            <w:hideMark/>
          </w:tcPr>
          <w:p w14:paraId="121BB50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16598,00</w:t>
            </w:r>
          </w:p>
        </w:tc>
      </w:tr>
      <w:tr w:rsidR="002D4864" w:rsidRPr="00620F58" w14:paraId="4D92B5C4"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90F19B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123</w:t>
            </w:r>
          </w:p>
        </w:tc>
        <w:tc>
          <w:tcPr>
            <w:tcW w:w="1845" w:type="dxa"/>
            <w:tcBorders>
              <w:top w:val="nil"/>
              <w:left w:val="nil"/>
              <w:bottom w:val="single" w:sz="4" w:space="0" w:color="auto"/>
              <w:right w:val="single" w:sz="4" w:space="0" w:color="auto"/>
            </w:tcBorders>
            <w:shd w:val="clear" w:color="000000" w:fill="FFFFFF"/>
            <w:noWrap/>
            <w:vAlign w:val="bottom"/>
            <w:hideMark/>
          </w:tcPr>
          <w:p w14:paraId="235AB90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A7A28A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Türdu</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6B773F7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3134,10</w:t>
            </w:r>
          </w:p>
        </w:tc>
        <w:tc>
          <w:tcPr>
            <w:tcW w:w="1120" w:type="dxa"/>
            <w:tcBorders>
              <w:top w:val="nil"/>
              <w:left w:val="nil"/>
              <w:bottom w:val="single" w:sz="4" w:space="0" w:color="auto"/>
              <w:right w:val="single" w:sz="4" w:space="0" w:color="auto"/>
            </w:tcBorders>
            <w:shd w:val="clear" w:color="000000" w:fill="FFFFFF"/>
            <w:noWrap/>
            <w:vAlign w:val="bottom"/>
            <w:hideMark/>
          </w:tcPr>
          <w:p w14:paraId="58CB01D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1920,50</w:t>
            </w:r>
          </w:p>
        </w:tc>
        <w:tc>
          <w:tcPr>
            <w:tcW w:w="1140" w:type="dxa"/>
            <w:tcBorders>
              <w:top w:val="nil"/>
              <w:left w:val="nil"/>
              <w:bottom w:val="single" w:sz="4" w:space="0" w:color="auto"/>
              <w:right w:val="single" w:sz="4" w:space="0" w:color="auto"/>
            </w:tcBorders>
            <w:shd w:val="clear" w:color="000000" w:fill="FFFFFF"/>
            <w:noWrap/>
            <w:vAlign w:val="bottom"/>
            <w:hideMark/>
          </w:tcPr>
          <w:p w14:paraId="7F134D5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582,20</w:t>
            </w:r>
          </w:p>
        </w:tc>
        <w:tc>
          <w:tcPr>
            <w:tcW w:w="1120" w:type="dxa"/>
            <w:tcBorders>
              <w:top w:val="nil"/>
              <w:left w:val="nil"/>
              <w:bottom w:val="single" w:sz="4" w:space="0" w:color="auto"/>
              <w:right w:val="single" w:sz="4" w:space="0" w:color="auto"/>
            </w:tcBorders>
            <w:shd w:val="clear" w:color="000000" w:fill="FFFFFF"/>
            <w:noWrap/>
            <w:vAlign w:val="bottom"/>
            <w:hideMark/>
          </w:tcPr>
          <w:p w14:paraId="228A8BC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349,30</w:t>
            </w:r>
          </w:p>
        </w:tc>
        <w:tc>
          <w:tcPr>
            <w:tcW w:w="931" w:type="dxa"/>
            <w:tcBorders>
              <w:top w:val="nil"/>
              <w:left w:val="nil"/>
              <w:bottom w:val="single" w:sz="4" w:space="0" w:color="auto"/>
              <w:right w:val="single" w:sz="4" w:space="0" w:color="auto"/>
            </w:tcBorders>
            <w:shd w:val="clear" w:color="000000" w:fill="FFFFFF"/>
            <w:noWrap/>
            <w:vAlign w:val="bottom"/>
            <w:hideMark/>
          </w:tcPr>
          <w:p w14:paraId="381FFE8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1832,00</w:t>
            </w:r>
          </w:p>
        </w:tc>
        <w:tc>
          <w:tcPr>
            <w:tcW w:w="1219" w:type="dxa"/>
            <w:tcBorders>
              <w:top w:val="nil"/>
              <w:left w:val="nil"/>
              <w:bottom w:val="single" w:sz="4" w:space="0" w:color="auto"/>
              <w:right w:val="single" w:sz="4" w:space="0" w:color="auto"/>
            </w:tcBorders>
            <w:shd w:val="clear" w:color="000000" w:fill="FFFFFF"/>
            <w:noWrap/>
            <w:vAlign w:val="bottom"/>
            <w:hideMark/>
          </w:tcPr>
          <w:p w14:paraId="3E740FE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2455,50</w:t>
            </w:r>
          </w:p>
        </w:tc>
        <w:tc>
          <w:tcPr>
            <w:tcW w:w="1075" w:type="dxa"/>
            <w:tcBorders>
              <w:top w:val="nil"/>
              <w:left w:val="nil"/>
              <w:bottom w:val="single" w:sz="4" w:space="0" w:color="auto"/>
              <w:right w:val="single" w:sz="4" w:space="0" w:color="auto"/>
            </w:tcBorders>
            <w:shd w:val="clear" w:color="000000" w:fill="FFFFFF"/>
            <w:noWrap/>
            <w:vAlign w:val="bottom"/>
            <w:hideMark/>
          </w:tcPr>
          <w:p w14:paraId="0592033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3455,00</w:t>
            </w:r>
          </w:p>
        </w:tc>
      </w:tr>
      <w:tr w:rsidR="002D4864" w:rsidRPr="00620F58" w14:paraId="487F7FE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053F70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124</w:t>
            </w:r>
          </w:p>
        </w:tc>
        <w:tc>
          <w:tcPr>
            <w:tcW w:w="1845" w:type="dxa"/>
            <w:tcBorders>
              <w:top w:val="nil"/>
              <w:left w:val="nil"/>
              <w:bottom w:val="single" w:sz="4" w:space="0" w:color="auto"/>
              <w:right w:val="single" w:sz="4" w:space="0" w:color="auto"/>
            </w:tcBorders>
            <w:shd w:val="clear" w:color="000000" w:fill="FFFFFF"/>
            <w:noWrap/>
            <w:vAlign w:val="bottom"/>
            <w:hideMark/>
          </w:tcPr>
          <w:p w14:paraId="00394ED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19272E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Türju</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5A4E2DB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299,10</w:t>
            </w:r>
          </w:p>
        </w:tc>
        <w:tc>
          <w:tcPr>
            <w:tcW w:w="1120" w:type="dxa"/>
            <w:tcBorders>
              <w:top w:val="nil"/>
              <w:left w:val="nil"/>
              <w:bottom w:val="single" w:sz="4" w:space="0" w:color="auto"/>
              <w:right w:val="single" w:sz="4" w:space="0" w:color="auto"/>
            </w:tcBorders>
            <w:shd w:val="clear" w:color="000000" w:fill="FFFFFF"/>
            <w:noWrap/>
            <w:vAlign w:val="bottom"/>
            <w:hideMark/>
          </w:tcPr>
          <w:p w14:paraId="043C464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791,80</w:t>
            </w:r>
          </w:p>
        </w:tc>
        <w:tc>
          <w:tcPr>
            <w:tcW w:w="1140" w:type="dxa"/>
            <w:tcBorders>
              <w:top w:val="nil"/>
              <w:left w:val="nil"/>
              <w:bottom w:val="single" w:sz="4" w:space="0" w:color="auto"/>
              <w:right w:val="single" w:sz="4" w:space="0" w:color="auto"/>
            </w:tcBorders>
            <w:shd w:val="clear" w:color="000000" w:fill="FFFFFF"/>
            <w:noWrap/>
            <w:vAlign w:val="bottom"/>
            <w:hideMark/>
          </w:tcPr>
          <w:p w14:paraId="1761F81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270,00</w:t>
            </w:r>
          </w:p>
        </w:tc>
        <w:tc>
          <w:tcPr>
            <w:tcW w:w="1120" w:type="dxa"/>
            <w:tcBorders>
              <w:top w:val="nil"/>
              <w:left w:val="nil"/>
              <w:bottom w:val="single" w:sz="4" w:space="0" w:color="auto"/>
              <w:right w:val="single" w:sz="4" w:space="0" w:color="auto"/>
            </w:tcBorders>
            <w:shd w:val="clear" w:color="000000" w:fill="FFFFFF"/>
            <w:noWrap/>
            <w:vAlign w:val="bottom"/>
            <w:hideMark/>
          </w:tcPr>
          <w:p w14:paraId="2477C82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468,80</w:t>
            </w:r>
          </w:p>
        </w:tc>
        <w:tc>
          <w:tcPr>
            <w:tcW w:w="931" w:type="dxa"/>
            <w:tcBorders>
              <w:top w:val="nil"/>
              <w:left w:val="nil"/>
              <w:bottom w:val="single" w:sz="4" w:space="0" w:color="auto"/>
              <w:right w:val="single" w:sz="4" w:space="0" w:color="auto"/>
            </w:tcBorders>
            <w:shd w:val="clear" w:color="000000" w:fill="FFFFFF"/>
            <w:noWrap/>
            <w:vAlign w:val="bottom"/>
            <w:hideMark/>
          </w:tcPr>
          <w:p w14:paraId="2246375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685,00</w:t>
            </w:r>
          </w:p>
        </w:tc>
        <w:tc>
          <w:tcPr>
            <w:tcW w:w="1219" w:type="dxa"/>
            <w:tcBorders>
              <w:top w:val="nil"/>
              <w:left w:val="nil"/>
              <w:bottom w:val="single" w:sz="4" w:space="0" w:color="auto"/>
              <w:right w:val="single" w:sz="4" w:space="0" w:color="auto"/>
            </w:tcBorders>
            <w:shd w:val="clear" w:color="000000" w:fill="FFFFFF"/>
            <w:noWrap/>
            <w:vAlign w:val="bottom"/>
            <w:hideMark/>
          </w:tcPr>
          <w:p w14:paraId="7AC4EC4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701,40</w:t>
            </w:r>
          </w:p>
        </w:tc>
        <w:tc>
          <w:tcPr>
            <w:tcW w:w="1075" w:type="dxa"/>
            <w:tcBorders>
              <w:top w:val="nil"/>
              <w:left w:val="nil"/>
              <w:bottom w:val="single" w:sz="4" w:space="0" w:color="auto"/>
              <w:right w:val="single" w:sz="4" w:space="0" w:color="auto"/>
            </w:tcBorders>
            <w:shd w:val="clear" w:color="000000" w:fill="FFFFFF"/>
            <w:noWrap/>
            <w:vAlign w:val="bottom"/>
            <w:hideMark/>
          </w:tcPr>
          <w:p w14:paraId="6FA92F1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1598,50</w:t>
            </w:r>
          </w:p>
        </w:tc>
      </w:tr>
      <w:tr w:rsidR="002D4864" w:rsidRPr="00620F58" w14:paraId="2ED03568" w14:textId="77777777" w:rsidTr="00B42464">
        <w:trPr>
          <w:trHeight w:val="6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E5AD44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125</w:t>
            </w:r>
          </w:p>
        </w:tc>
        <w:tc>
          <w:tcPr>
            <w:tcW w:w="1845" w:type="dxa"/>
            <w:tcBorders>
              <w:top w:val="nil"/>
              <w:left w:val="nil"/>
              <w:bottom w:val="single" w:sz="4" w:space="0" w:color="auto"/>
              <w:right w:val="single" w:sz="4" w:space="0" w:color="auto"/>
            </w:tcBorders>
            <w:shd w:val="clear" w:color="000000" w:fill="FFFFFF"/>
            <w:noWrap/>
            <w:vAlign w:val="bottom"/>
            <w:hideMark/>
          </w:tcPr>
          <w:p w14:paraId="5D8F72D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vAlign w:val="bottom"/>
            <w:hideMark/>
          </w:tcPr>
          <w:p w14:paraId="6334F539" w14:textId="332E681D"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 xml:space="preserve">Uisusadam </w:t>
            </w:r>
            <w:r w:rsidR="00B42464">
              <w:rPr>
                <w:rFonts w:ascii="Times New Roman" w:eastAsia="Times New Roman" w:hAnsi="Times New Roman" w:cs="Times New Roman"/>
                <w:color w:val="000000"/>
                <w:sz w:val="22"/>
                <w:szCs w:val="22"/>
              </w:rPr>
              <w:t>(</w:t>
            </w:r>
            <w:r w:rsidRPr="002D4864">
              <w:rPr>
                <w:rFonts w:ascii="Times New Roman" w:eastAsia="Times New Roman" w:hAnsi="Times New Roman" w:cs="Times New Roman"/>
                <w:color w:val="000000"/>
                <w:sz w:val="22"/>
                <w:szCs w:val="22"/>
              </w:rPr>
              <w:t>endine Orissaare lauter</w:t>
            </w:r>
            <w:r w:rsidR="00B42464">
              <w:rPr>
                <w:rFonts w:ascii="Times New Roman" w:eastAsia="Times New Roman" w:hAnsi="Times New Roman" w:cs="Times New Roman"/>
                <w:color w:val="000000"/>
                <w:sz w:val="22"/>
                <w:szCs w:val="22"/>
              </w:rPr>
              <w:t>)</w:t>
            </w:r>
          </w:p>
        </w:tc>
        <w:tc>
          <w:tcPr>
            <w:tcW w:w="1075" w:type="dxa"/>
            <w:tcBorders>
              <w:top w:val="nil"/>
              <w:left w:val="nil"/>
              <w:bottom w:val="single" w:sz="4" w:space="0" w:color="auto"/>
              <w:right w:val="single" w:sz="4" w:space="0" w:color="auto"/>
            </w:tcBorders>
            <w:shd w:val="clear" w:color="000000" w:fill="FFFFFF"/>
            <w:noWrap/>
            <w:vAlign w:val="bottom"/>
            <w:hideMark/>
          </w:tcPr>
          <w:p w14:paraId="01B06D1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9445,50</w:t>
            </w:r>
          </w:p>
        </w:tc>
        <w:tc>
          <w:tcPr>
            <w:tcW w:w="1120" w:type="dxa"/>
            <w:tcBorders>
              <w:top w:val="nil"/>
              <w:left w:val="nil"/>
              <w:bottom w:val="single" w:sz="4" w:space="0" w:color="auto"/>
              <w:right w:val="single" w:sz="4" w:space="0" w:color="auto"/>
            </w:tcBorders>
            <w:shd w:val="clear" w:color="000000" w:fill="FFFFFF"/>
            <w:noWrap/>
            <w:vAlign w:val="bottom"/>
            <w:hideMark/>
          </w:tcPr>
          <w:p w14:paraId="6856D07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8761,00</w:t>
            </w:r>
          </w:p>
        </w:tc>
        <w:tc>
          <w:tcPr>
            <w:tcW w:w="1140" w:type="dxa"/>
            <w:tcBorders>
              <w:top w:val="nil"/>
              <w:left w:val="nil"/>
              <w:bottom w:val="single" w:sz="4" w:space="0" w:color="auto"/>
              <w:right w:val="single" w:sz="4" w:space="0" w:color="auto"/>
            </w:tcBorders>
            <w:shd w:val="clear" w:color="000000" w:fill="FFFFFF"/>
            <w:noWrap/>
            <w:vAlign w:val="bottom"/>
            <w:hideMark/>
          </w:tcPr>
          <w:p w14:paraId="65886AC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16186,20</w:t>
            </w:r>
          </w:p>
        </w:tc>
        <w:tc>
          <w:tcPr>
            <w:tcW w:w="1120" w:type="dxa"/>
            <w:tcBorders>
              <w:top w:val="nil"/>
              <w:left w:val="nil"/>
              <w:bottom w:val="single" w:sz="4" w:space="0" w:color="auto"/>
              <w:right w:val="single" w:sz="4" w:space="0" w:color="auto"/>
            </w:tcBorders>
            <w:shd w:val="clear" w:color="000000" w:fill="FFFFFF"/>
            <w:noWrap/>
            <w:vAlign w:val="bottom"/>
            <w:hideMark/>
          </w:tcPr>
          <w:p w14:paraId="3D7452D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16593,00</w:t>
            </w:r>
          </w:p>
        </w:tc>
        <w:tc>
          <w:tcPr>
            <w:tcW w:w="931" w:type="dxa"/>
            <w:tcBorders>
              <w:top w:val="nil"/>
              <w:left w:val="nil"/>
              <w:bottom w:val="single" w:sz="4" w:space="0" w:color="auto"/>
              <w:right w:val="single" w:sz="4" w:space="0" w:color="auto"/>
            </w:tcBorders>
            <w:shd w:val="clear" w:color="000000" w:fill="FFFFFF"/>
            <w:noWrap/>
            <w:vAlign w:val="bottom"/>
            <w:hideMark/>
          </w:tcPr>
          <w:p w14:paraId="3299FA9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25093,00</w:t>
            </w:r>
          </w:p>
        </w:tc>
        <w:tc>
          <w:tcPr>
            <w:tcW w:w="1219" w:type="dxa"/>
            <w:tcBorders>
              <w:top w:val="nil"/>
              <w:left w:val="nil"/>
              <w:bottom w:val="single" w:sz="4" w:space="0" w:color="auto"/>
              <w:right w:val="single" w:sz="4" w:space="0" w:color="auto"/>
            </w:tcBorders>
            <w:shd w:val="clear" w:color="000000" w:fill="FFFFFF"/>
            <w:noWrap/>
            <w:vAlign w:val="bottom"/>
            <w:hideMark/>
          </w:tcPr>
          <w:p w14:paraId="582E299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23788,70</w:t>
            </w:r>
          </w:p>
        </w:tc>
        <w:tc>
          <w:tcPr>
            <w:tcW w:w="1075" w:type="dxa"/>
            <w:tcBorders>
              <w:top w:val="nil"/>
              <w:left w:val="nil"/>
              <w:bottom w:val="single" w:sz="4" w:space="0" w:color="auto"/>
              <w:right w:val="single" w:sz="4" w:space="0" w:color="auto"/>
            </w:tcBorders>
            <w:shd w:val="clear" w:color="000000" w:fill="FFFFFF"/>
            <w:noWrap/>
            <w:vAlign w:val="bottom"/>
            <w:hideMark/>
          </w:tcPr>
          <w:p w14:paraId="7DFEB0C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20575,50</w:t>
            </w:r>
          </w:p>
        </w:tc>
      </w:tr>
      <w:tr w:rsidR="002D4864" w:rsidRPr="00620F58" w14:paraId="07C23B08"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49DA75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126</w:t>
            </w:r>
          </w:p>
        </w:tc>
        <w:tc>
          <w:tcPr>
            <w:tcW w:w="1845" w:type="dxa"/>
            <w:tcBorders>
              <w:top w:val="nil"/>
              <w:left w:val="nil"/>
              <w:bottom w:val="single" w:sz="4" w:space="0" w:color="auto"/>
              <w:right w:val="single" w:sz="4" w:space="0" w:color="auto"/>
            </w:tcBorders>
            <w:shd w:val="clear" w:color="000000" w:fill="FFFFFF"/>
            <w:noWrap/>
            <w:vAlign w:val="bottom"/>
            <w:hideMark/>
          </w:tcPr>
          <w:p w14:paraId="2F29257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588F524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Ulle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0D540D9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2240,10</w:t>
            </w:r>
          </w:p>
        </w:tc>
        <w:tc>
          <w:tcPr>
            <w:tcW w:w="1120" w:type="dxa"/>
            <w:tcBorders>
              <w:top w:val="nil"/>
              <w:left w:val="nil"/>
              <w:bottom w:val="single" w:sz="4" w:space="0" w:color="auto"/>
              <w:right w:val="single" w:sz="4" w:space="0" w:color="auto"/>
            </w:tcBorders>
            <w:shd w:val="clear" w:color="000000" w:fill="FFFFFF"/>
            <w:noWrap/>
            <w:vAlign w:val="bottom"/>
            <w:hideMark/>
          </w:tcPr>
          <w:p w14:paraId="6C9927C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789,00</w:t>
            </w:r>
          </w:p>
        </w:tc>
        <w:tc>
          <w:tcPr>
            <w:tcW w:w="1140" w:type="dxa"/>
            <w:tcBorders>
              <w:top w:val="nil"/>
              <w:left w:val="nil"/>
              <w:bottom w:val="single" w:sz="4" w:space="0" w:color="auto"/>
              <w:right w:val="single" w:sz="4" w:space="0" w:color="auto"/>
            </w:tcBorders>
            <w:shd w:val="clear" w:color="000000" w:fill="FFFFFF"/>
            <w:noWrap/>
            <w:vAlign w:val="bottom"/>
            <w:hideMark/>
          </w:tcPr>
          <w:p w14:paraId="4A96D3C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212,00</w:t>
            </w:r>
          </w:p>
        </w:tc>
        <w:tc>
          <w:tcPr>
            <w:tcW w:w="1120" w:type="dxa"/>
            <w:tcBorders>
              <w:top w:val="nil"/>
              <w:left w:val="nil"/>
              <w:bottom w:val="single" w:sz="4" w:space="0" w:color="auto"/>
              <w:right w:val="single" w:sz="4" w:space="0" w:color="auto"/>
            </w:tcBorders>
            <w:shd w:val="clear" w:color="000000" w:fill="FFFFFF"/>
            <w:noWrap/>
            <w:vAlign w:val="bottom"/>
            <w:hideMark/>
          </w:tcPr>
          <w:p w14:paraId="174864C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78,10</w:t>
            </w:r>
          </w:p>
        </w:tc>
        <w:tc>
          <w:tcPr>
            <w:tcW w:w="931" w:type="dxa"/>
            <w:tcBorders>
              <w:top w:val="nil"/>
              <w:left w:val="nil"/>
              <w:bottom w:val="single" w:sz="4" w:space="0" w:color="auto"/>
              <w:right w:val="single" w:sz="4" w:space="0" w:color="auto"/>
            </w:tcBorders>
            <w:shd w:val="clear" w:color="000000" w:fill="FFFFFF"/>
            <w:noWrap/>
            <w:vAlign w:val="bottom"/>
            <w:hideMark/>
          </w:tcPr>
          <w:p w14:paraId="4F4EB8B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369,00</w:t>
            </w:r>
          </w:p>
        </w:tc>
        <w:tc>
          <w:tcPr>
            <w:tcW w:w="1219" w:type="dxa"/>
            <w:tcBorders>
              <w:top w:val="nil"/>
              <w:left w:val="nil"/>
              <w:bottom w:val="single" w:sz="4" w:space="0" w:color="auto"/>
              <w:right w:val="single" w:sz="4" w:space="0" w:color="auto"/>
            </w:tcBorders>
            <w:shd w:val="clear" w:color="000000" w:fill="FFFFFF"/>
            <w:noWrap/>
            <w:vAlign w:val="bottom"/>
            <w:hideMark/>
          </w:tcPr>
          <w:p w14:paraId="1A11854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1099,00</w:t>
            </w:r>
          </w:p>
        </w:tc>
        <w:tc>
          <w:tcPr>
            <w:tcW w:w="1075" w:type="dxa"/>
            <w:tcBorders>
              <w:top w:val="nil"/>
              <w:left w:val="nil"/>
              <w:bottom w:val="single" w:sz="4" w:space="0" w:color="auto"/>
              <w:right w:val="single" w:sz="4" w:space="0" w:color="auto"/>
            </w:tcBorders>
            <w:shd w:val="clear" w:color="000000" w:fill="FFFFFF"/>
            <w:noWrap/>
            <w:vAlign w:val="bottom"/>
            <w:hideMark/>
          </w:tcPr>
          <w:p w14:paraId="2D328FC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934,00</w:t>
            </w:r>
          </w:p>
        </w:tc>
      </w:tr>
      <w:tr w:rsidR="002D4864" w:rsidRPr="00620F58" w14:paraId="4C22453F"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15F59C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127</w:t>
            </w:r>
          </w:p>
        </w:tc>
        <w:tc>
          <w:tcPr>
            <w:tcW w:w="1845" w:type="dxa"/>
            <w:tcBorders>
              <w:top w:val="nil"/>
              <w:left w:val="nil"/>
              <w:bottom w:val="single" w:sz="4" w:space="0" w:color="auto"/>
              <w:right w:val="single" w:sz="4" w:space="0" w:color="auto"/>
            </w:tcBorders>
            <w:shd w:val="clear" w:color="000000" w:fill="FFFFFF"/>
            <w:noWrap/>
            <w:vAlign w:val="bottom"/>
            <w:hideMark/>
          </w:tcPr>
          <w:p w14:paraId="0204FAA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410585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Undu</w:t>
            </w:r>
          </w:p>
        </w:tc>
        <w:tc>
          <w:tcPr>
            <w:tcW w:w="1075" w:type="dxa"/>
            <w:tcBorders>
              <w:top w:val="nil"/>
              <w:left w:val="nil"/>
              <w:bottom w:val="single" w:sz="4" w:space="0" w:color="auto"/>
              <w:right w:val="single" w:sz="4" w:space="0" w:color="auto"/>
            </w:tcBorders>
            <w:shd w:val="clear" w:color="000000" w:fill="FFFFFF"/>
            <w:noWrap/>
            <w:vAlign w:val="bottom"/>
            <w:hideMark/>
          </w:tcPr>
          <w:p w14:paraId="521AF27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10793,80</w:t>
            </w:r>
          </w:p>
        </w:tc>
        <w:tc>
          <w:tcPr>
            <w:tcW w:w="1120" w:type="dxa"/>
            <w:tcBorders>
              <w:top w:val="nil"/>
              <w:left w:val="nil"/>
              <w:bottom w:val="single" w:sz="4" w:space="0" w:color="auto"/>
              <w:right w:val="single" w:sz="4" w:space="0" w:color="auto"/>
            </w:tcBorders>
            <w:shd w:val="clear" w:color="000000" w:fill="FFFFFF"/>
            <w:noWrap/>
            <w:vAlign w:val="bottom"/>
            <w:hideMark/>
          </w:tcPr>
          <w:p w14:paraId="6ED52B7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10118,20</w:t>
            </w:r>
          </w:p>
        </w:tc>
        <w:tc>
          <w:tcPr>
            <w:tcW w:w="1140" w:type="dxa"/>
            <w:tcBorders>
              <w:top w:val="nil"/>
              <w:left w:val="nil"/>
              <w:bottom w:val="single" w:sz="4" w:space="0" w:color="auto"/>
              <w:right w:val="single" w:sz="4" w:space="0" w:color="auto"/>
            </w:tcBorders>
            <w:shd w:val="clear" w:color="000000" w:fill="FFFFFF"/>
            <w:noWrap/>
            <w:vAlign w:val="bottom"/>
            <w:hideMark/>
          </w:tcPr>
          <w:p w14:paraId="02F1DC8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11342,00</w:t>
            </w:r>
          </w:p>
        </w:tc>
        <w:tc>
          <w:tcPr>
            <w:tcW w:w="1120" w:type="dxa"/>
            <w:tcBorders>
              <w:top w:val="nil"/>
              <w:left w:val="nil"/>
              <w:bottom w:val="single" w:sz="4" w:space="0" w:color="auto"/>
              <w:right w:val="single" w:sz="4" w:space="0" w:color="auto"/>
            </w:tcBorders>
            <w:shd w:val="clear" w:color="000000" w:fill="FFFFFF"/>
            <w:noWrap/>
            <w:vAlign w:val="bottom"/>
            <w:hideMark/>
          </w:tcPr>
          <w:p w14:paraId="13A5445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12210,40</w:t>
            </w:r>
          </w:p>
        </w:tc>
        <w:tc>
          <w:tcPr>
            <w:tcW w:w="931" w:type="dxa"/>
            <w:tcBorders>
              <w:top w:val="nil"/>
              <w:left w:val="nil"/>
              <w:bottom w:val="single" w:sz="4" w:space="0" w:color="auto"/>
              <w:right w:val="single" w:sz="4" w:space="0" w:color="auto"/>
            </w:tcBorders>
            <w:shd w:val="clear" w:color="000000" w:fill="FFFFFF"/>
            <w:noWrap/>
            <w:vAlign w:val="bottom"/>
            <w:hideMark/>
          </w:tcPr>
          <w:p w14:paraId="463C752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8925,00</w:t>
            </w:r>
          </w:p>
        </w:tc>
        <w:tc>
          <w:tcPr>
            <w:tcW w:w="1219" w:type="dxa"/>
            <w:tcBorders>
              <w:top w:val="nil"/>
              <w:left w:val="nil"/>
              <w:bottom w:val="single" w:sz="4" w:space="0" w:color="auto"/>
              <w:right w:val="single" w:sz="4" w:space="0" w:color="auto"/>
            </w:tcBorders>
            <w:shd w:val="clear" w:color="000000" w:fill="FFFFFF"/>
            <w:noWrap/>
            <w:vAlign w:val="bottom"/>
            <w:hideMark/>
          </w:tcPr>
          <w:p w14:paraId="18677A6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5272,00</w:t>
            </w:r>
          </w:p>
        </w:tc>
        <w:tc>
          <w:tcPr>
            <w:tcW w:w="1075" w:type="dxa"/>
            <w:tcBorders>
              <w:top w:val="nil"/>
              <w:left w:val="nil"/>
              <w:bottom w:val="single" w:sz="4" w:space="0" w:color="auto"/>
              <w:right w:val="single" w:sz="4" w:space="0" w:color="auto"/>
            </w:tcBorders>
            <w:shd w:val="clear" w:color="000000" w:fill="FFFFFF"/>
            <w:noWrap/>
            <w:vAlign w:val="bottom"/>
            <w:hideMark/>
          </w:tcPr>
          <w:p w14:paraId="54D00A2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9387,50</w:t>
            </w:r>
          </w:p>
        </w:tc>
      </w:tr>
      <w:tr w:rsidR="002D4864" w:rsidRPr="00620F58" w14:paraId="29BB6793"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9C75BE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128</w:t>
            </w:r>
          </w:p>
        </w:tc>
        <w:tc>
          <w:tcPr>
            <w:tcW w:w="1845" w:type="dxa"/>
            <w:tcBorders>
              <w:top w:val="nil"/>
              <w:left w:val="nil"/>
              <w:bottom w:val="single" w:sz="4" w:space="0" w:color="auto"/>
              <w:right w:val="single" w:sz="4" w:space="0" w:color="auto"/>
            </w:tcBorders>
            <w:shd w:val="clear" w:color="000000" w:fill="FFFFFF"/>
            <w:noWrap/>
            <w:vAlign w:val="bottom"/>
            <w:hideMark/>
          </w:tcPr>
          <w:p w14:paraId="501C7FFC"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066B7B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Undva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2FA1F6A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2297,90</w:t>
            </w:r>
          </w:p>
        </w:tc>
        <w:tc>
          <w:tcPr>
            <w:tcW w:w="1120" w:type="dxa"/>
            <w:tcBorders>
              <w:top w:val="nil"/>
              <w:left w:val="nil"/>
              <w:bottom w:val="single" w:sz="4" w:space="0" w:color="auto"/>
              <w:right w:val="single" w:sz="4" w:space="0" w:color="auto"/>
            </w:tcBorders>
            <w:shd w:val="clear" w:color="000000" w:fill="FFFFFF"/>
            <w:noWrap/>
            <w:vAlign w:val="bottom"/>
            <w:hideMark/>
          </w:tcPr>
          <w:p w14:paraId="737FB66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2732,40</w:t>
            </w:r>
          </w:p>
        </w:tc>
        <w:tc>
          <w:tcPr>
            <w:tcW w:w="1140" w:type="dxa"/>
            <w:tcBorders>
              <w:top w:val="nil"/>
              <w:left w:val="nil"/>
              <w:bottom w:val="single" w:sz="4" w:space="0" w:color="auto"/>
              <w:right w:val="single" w:sz="4" w:space="0" w:color="auto"/>
            </w:tcBorders>
            <w:shd w:val="clear" w:color="000000" w:fill="FFFFFF"/>
            <w:noWrap/>
            <w:vAlign w:val="bottom"/>
            <w:hideMark/>
          </w:tcPr>
          <w:p w14:paraId="0586BDC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1566,10</w:t>
            </w:r>
          </w:p>
        </w:tc>
        <w:tc>
          <w:tcPr>
            <w:tcW w:w="1120" w:type="dxa"/>
            <w:tcBorders>
              <w:top w:val="nil"/>
              <w:left w:val="nil"/>
              <w:bottom w:val="single" w:sz="4" w:space="0" w:color="auto"/>
              <w:right w:val="single" w:sz="4" w:space="0" w:color="auto"/>
            </w:tcBorders>
            <w:shd w:val="clear" w:color="000000" w:fill="FFFFFF"/>
            <w:noWrap/>
            <w:vAlign w:val="bottom"/>
            <w:hideMark/>
          </w:tcPr>
          <w:p w14:paraId="1D2A71A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2393,10</w:t>
            </w:r>
          </w:p>
        </w:tc>
        <w:tc>
          <w:tcPr>
            <w:tcW w:w="931" w:type="dxa"/>
            <w:tcBorders>
              <w:top w:val="nil"/>
              <w:left w:val="nil"/>
              <w:bottom w:val="single" w:sz="4" w:space="0" w:color="auto"/>
              <w:right w:val="single" w:sz="4" w:space="0" w:color="auto"/>
            </w:tcBorders>
            <w:shd w:val="clear" w:color="000000" w:fill="FFFFFF"/>
            <w:noWrap/>
            <w:vAlign w:val="bottom"/>
            <w:hideMark/>
          </w:tcPr>
          <w:p w14:paraId="0056D3A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6586,00</w:t>
            </w:r>
          </w:p>
        </w:tc>
        <w:tc>
          <w:tcPr>
            <w:tcW w:w="1219" w:type="dxa"/>
            <w:tcBorders>
              <w:top w:val="nil"/>
              <w:left w:val="nil"/>
              <w:bottom w:val="single" w:sz="4" w:space="0" w:color="auto"/>
              <w:right w:val="single" w:sz="4" w:space="0" w:color="auto"/>
            </w:tcBorders>
            <w:shd w:val="clear" w:color="000000" w:fill="FFFFFF"/>
            <w:noWrap/>
            <w:vAlign w:val="bottom"/>
            <w:hideMark/>
          </w:tcPr>
          <w:p w14:paraId="1E02B28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2661,60</w:t>
            </w:r>
          </w:p>
        </w:tc>
        <w:tc>
          <w:tcPr>
            <w:tcW w:w="1075" w:type="dxa"/>
            <w:tcBorders>
              <w:top w:val="nil"/>
              <w:left w:val="nil"/>
              <w:bottom w:val="single" w:sz="4" w:space="0" w:color="auto"/>
              <w:right w:val="single" w:sz="4" w:space="0" w:color="auto"/>
            </w:tcBorders>
            <w:shd w:val="clear" w:color="000000" w:fill="FFFFFF"/>
            <w:noWrap/>
            <w:vAlign w:val="bottom"/>
            <w:hideMark/>
          </w:tcPr>
          <w:p w14:paraId="68874DA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1772,10</w:t>
            </w:r>
          </w:p>
        </w:tc>
      </w:tr>
      <w:tr w:rsidR="002D4864" w:rsidRPr="00620F58" w14:paraId="047DCAD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5812CB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129</w:t>
            </w:r>
          </w:p>
        </w:tc>
        <w:tc>
          <w:tcPr>
            <w:tcW w:w="1845" w:type="dxa"/>
            <w:tcBorders>
              <w:top w:val="nil"/>
              <w:left w:val="nil"/>
              <w:bottom w:val="single" w:sz="4" w:space="0" w:color="auto"/>
              <w:right w:val="single" w:sz="4" w:space="0" w:color="auto"/>
            </w:tcBorders>
            <w:shd w:val="clear" w:color="000000" w:fill="FFFFFF"/>
            <w:noWrap/>
            <w:vAlign w:val="bottom"/>
            <w:hideMark/>
          </w:tcPr>
          <w:p w14:paraId="179C8EA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6C190B9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Unguma</w:t>
            </w:r>
            <w:proofErr w:type="spellEnd"/>
            <w:r w:rsidRPr="002D4864">
              <w:rPr>
                <w:rFonts w:ascii="Times New Roman" w:eastAsia="Times New Roman" w:hAnsi="Times New Roman" w:cs="Times New Roman"/>
                <w:color w:val="000000"/>
                <w:sz w:val="22"/>
                <w:szCs w:val="22"/>
              </w:rPr>
              <w:t xml:space="preserv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17DE437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2650,00</w:t>
            </w:r>
          </w:p>
        </w:tc>
        <w:tc>
          <w:tcPr>
            <w:tcW w:w="1120" w:type="dxa"/>
            <w:tcBorders>
              <w:top w:val="nil"/>
              <w:left w:val="nil"/>
              <w:bottom w:val="single" w:sz="4" w:space="0" w:color="auto"/>
              <w:right w:val="single" w:sz="4" w:space="0" w:color="auto"/>
            </w:tcBorders>
            <w:shd w:val="clear" w:color="000000" w:fill="FFFFFF"/>
            <w:noWrap/>
            <w:vAlign w:val="bottom"/>
            <w:hideMark/>
          </w:tcPr>
          <w:p w14:paraId="44CE510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2939,00</w:t>
            </w:r>
          </w:p>
        </w:tc>
        <w:tc>
          <w:tcPr>
            <w:tcW w:w="1140" w:type="dxa"/>
            <w:tcBorders>
              <w:top w:val="nil"/>
              <w:left w:val="nil"/>
              <w:bottom w:val="single" w:sz="4" w:space="0" w:color="auto"/>
              <w:right w:val="single" w:sz="4" w:space="0" w:color="auto"/>
            </w:tcBorders>
            <w:shd w:val="clear" w:color="000000" w:fill="FFFFFF"/>
            <w:noWrap/>
            <w:vAlign w:val="bottom"/>
            <w:hideMark/>
          </w:tcPr>
          <w:p w14:paraId="3A07EAA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3659,00</w:t>
            </w:r>
          </w:p>
        </w:tc>
        <w:tc>
          <w:tcPr>
            <w:tcW w:w="1120" w:type="dxa"/>
            <w:tcBorders>
              <w:top w:val="nil"/>
              <w:left w:val="nil"/>
              <w:bottom w:val="single" w:sz="4" w:space="0" w:color="auto"/>
              <w:right w:val="single" w:sz="4" w:space="0" w:color="auto"/>
            </w:tcBorders>
            <w:shd w:val="clear" w:color="000000" w:fill="FFFFFF"/>
            <w:noWrap/>
            <w:vAlign w:val="bottom"/>
            <w:hideMark/>
          </w:tcPr>
          <w:p w14:paraId="5CC2432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2174,00</w:t>
            </w:r>
          </w:p>
        </w:tc>
        <w:tc>
          <w:tcPr>
            <w:tcW w:w="931" w:type="dxa"/>
            <w:tcBorders>
              <w:top w:val="nil"/>
              <w:left w:val="nil"/>
              <w:bottom w:val="single" w:sz="4" w:space="0" w:color="auto"/>
              <w:right w:val="single" w:sz="4" w:space="0" w:color="auto"/>
            </w:tcBorders>
            <w:shd w:val="clear" w:color="000000" w:fill="FFFFFF"/>
            <w:noWrap/>
            <w:vAlign w:val="bottom"/>
            <w:hideMark/>
          </w:tcPr>
          <w:p w14:paraId="2397801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3689,00</w:t>
            </w:r>
          </w:p>
        </w:tc>
        <w:tc>
          <w:tcPr>
            <w:tcW w:w="1219" w:type="dxa"/>
            <w:tcBorders>
              <w:top w:val="nil"/>
              <w:left w:val="nil"/>
              <w:bottom w:val="single" w:sz="4" w:space="0" w:color="auto"/>
              <w:right w:val="single" w:sz="4" w:space="0" w:color="auto"/>
            </w:tcBorders>
            <w:shd w:val="clear" w:color="000000" w:fill="FFFFFF"/>
            <w:noWrap/>
            <w:vAlign w:val="bottom"/>
            <w:hideMark/>
          </w:tcPr>
          <w:p w14:paraId="0618F5E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3965,10</w:t>
            </w:r>
          </w:p>
        </w:tc>
        <w:tc>
          <w:tcPr>
            <w:tcW w:w="1075" w:type="dxa"/>
            <w:tcBorders>
              <w:top w:val="nil"/>
              <w:left w:val="nil"/>
              <w:bottom w:val="single" w:sz="4" w:space="0" w:color="auto"/>
              <w:right w:val="single" w:sz="4" w:space="0" w:color="auto"/>
            </w:tcBorders>
            <w:shd w:val="clear" w:color="000000" w:fill="FFFFFF"/>
            <w:noWrap/>
            <w:vAlign w:val="bottom"/>
            <w:hideMark/>
          </w:tcPr>
          <w:p w14:paraId="069E5DB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3774,50</w:t>
            </w:r>
          </w:p>
        </w:tc>
      </w:tr>
      <w:tr w:rsidR="002D4864" w:rsidRPr="00620F58" w14:paraId="521A961C"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8DB44A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130</w:t>
            </w:r>
          </w:p>
        </w:tc>
        <w:tc>
          <w:tcPr>
            <w:tcW w:w="1845" w:type="dxa"/>
            <w:tcBorders>
              <w:top w:val="nil"/>
              <w:left w:val="nil"/>
              <w:bottom w:val="single" w:sz="4" w:space="0" w:color="auto"/>
              <w:right w:val="single" w:sz="4" w:space="0" w:color="auto"/>
            </w:tcBorders>
            <w:shd w:val="clear" w:color="000000" w:fill="FFFFFF"/>
            <w:noWrap/>
            <w:vAlign w:val="bottom"/>
            <w:hideMark/>
          </w:tcPr>
          <w:p w14:paraId="3EE60E3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ABB3EE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 xml:space="preserve">Uudepanga </w:t>
            </w:r>
          </w:p>
        </w:tc>
        <w:tc>
          <w:tcPr>
            <w:tcW w:w="1075" w:type="dxa"/>
            <w:tcBorders>
              <w:top w:val="nil"/>
              <w:left w:val="nil"/>
              <w:bottom w:val="single" w:sz="4" w:space="0" w:color="auto"/>
              <w:right w:val="single" w:sz="4" w:space="0" w:color="auto"/>
            </w:tcBorders>
            <w:shd w:val="clear" w:color="000000" w:fill="FFFFFF"/>
            <w:noWrap/>
            <w:vAlign w:val="bottom"/>
            <w:hideMark/>
          </w:tcPr>
          <w:p w14:paraId="1C67DF6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115,00</w:t>
            </w:r>
          </w:p>
        </w:tc>
        <w:tc>
          <w:tcPr>
            <w:tcW w:w="1120" w:type="dxa"/>
            <w:tcBorders>
              <w:top w:val="nil"/>
              <w:left w:val="nil"/>
              <w:bottom w:val="single" w:sz="4" w:space="0" w:color="auto"/>
              <w:right w:val="single" w:sz="4" w:space="0" w:color="auto"/>
            </w:tcBorders>
            <w:shd w:val="clear" w:color="000000" w:fill="FFFFFF"/>
            <w:noWrap/>
            <w:vAlign w:val="bottom"/>
            <w:hideMark/>
          </w:tcPr>
          <w:p w14:paraId="57F17B6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298,00</w:t>
            </w:r>
          </w:p>
        </w:tc>
        <w:tc>
          <w:tcPr>
            <w:tcW w:w="1140" w:type="dxa"/>
            <w:tcBorders>
              <w:top w:val="nil"/>
              <w:left w:val="nil"/>
              <w:bottom w:val="single" w:sz="4" w:space="0" w:color="auto"/>
              <w:right w:val="single" w:sz="4" w:space="0" w:color="auto"/>
            </w:tcBorders>
            <w:shd w:val="clear" w:color="000000" w:fill="FFFFFF"/>
            <w:noWrap/>
            <w:vAlign w:val="bottom"/>
            <w:hideMark/>
          </w:tcPr>
          <w:p w14:paraId="66191A1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188,50</w:t>
            </w:r>
          </w:p>
        </w:tc>
        <w:tc>
          <w:tcPr>
            <w:tcW w:w="1120" w:type="dxa"/>
            <w:tcBorders>
              <w:top w:val="nil"/>
              <w:left w:val="nil"/>
              <w:bottom w:val="single" w:sz="4" w:space="0" w:color="auto"/>
              <w:right w:val="single" w:sz="4" w:space="0" w:color="auto"/>
            </w:tcBorders>
            <w:shd w:val="clear" w:color="000000" w:fill="FFFFFF"/>
            <w:noWrap/>
            <w:vAlign w:val="bottom"/>
            <w:hideMark/>
          </w:tcPr>
          <w:p w14:paraId="6C0A596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110,00</w:t>
            </w:r>
          </w:p>
        </w:tc>
        <w:tc>
          <w:tcPr>
            <w:tcW w:w="931" w:type="dxa"/>
            <w:tcBorders>
              <w:top w:val="nil"/>
              <w:left w:val="nil"/>
              <w:bottom w:val="single" w:sz="4" w:space="0" w:color="auto"/>
              <w:right w:val="single" w:sz="4" w:space="0" w:color="auto"/>
            </w:tcBorders>
            <w:shd w:val="clear" w:color="000000" w:fill="FFFFFF"/>
            <w:noWrap/>
            <w:vAlign w:val="bottom"/>
            <w:hideMark/>
          </w:tcPr>
          <w:p w14:paraId="641523C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149,00</w:t>
            </w:r>
          </w:p>
        </w:tc>
        <w:tc>
          <w:tcPr>
            <w:tcW w:w="1219" w:type="dxa"/>
            <w:tcBorders>
              <w:top w:val="nil"/>
              <w:left w:val="nil"/>
              <w:bottom w:val="single" w:sz="4" w:space="0" w:color="auto"/>
              <w:right w:val="single" w:sz="4" w:space="0" w:color="auto"/>
            </w:tcBorders>
            <w:shd w:val="clear" w:color="000000" w:fill="FFFFFF"/>
            <w:noWrap/>
            <w:vAlign w:val="bottom"/>
            <w:hideMark/>
          </w:tcPr>
          <w:p w14:paraId="1A0A754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19,00</w:t>
            </w:r>
          </w:p>
        </w:tc>
        <w:tc>
          <w:tcPr>
            <w:tcW w:w="1075" w:type="dxa"/>
            <w:tcBorders>
              <w:top w:val="nil"/>
              <w:left w:val="nil"/>
              <w:bottom w:val="single" w:sz="4" w:space="0" w:color="auto"/>
              <w:right w:val="single" w:sz="4" w:space="0" w:color="auto"/>
            </w:tcBorders>
            <w:shd w:val="clear" w:color="000000" w:fill="FFFFFF"/>
            <w:noWrap/>
            <w:vAlign w:val="bottom"/>
            <w:hideMark/>
          </w:tcPr>
          <w:p w14:paraId="1E4181B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27,00</w:t>
            </w:r>
          </w:p>
        </w:tc>
      </w:tr>
      <w:tr w:rsidR="002D4864" w:rsidRPr="00620F58" w14:paraId="24A18642"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60FD8C5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131</w:t>
            </w:r>
          </w:p>
        </w:tc>
        <w:tc>
          <w:tcPr>
            <w:tcW w:w="1845" w:type="dxa"/>
            <w:tcBorders>
              <w:top w:val="nil"/>
              <w:left w:val="nil"/>
              <w:bottom w:val="single" w:sz="4" w:space="0" w:color="auto"/>
              <w:right w:val="single" w:sz="4" w:space="0" w:color="auto"/>
            </w:tcBorders>
            <w:shd w:val="clear" w:color="000000" w:fill="FFFFFF"/>
            <w:noWrap/>
            <w:vAlign w:val="bottom"/>
            <w:hideMark/>
          </w:tcPr>
          <w:p w14:paraId="79FD82C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0D8DF2D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Vaigu</w:t>
            </w:r>
          </w:p>
        </w:tc>
        <w:tc>
          <w:tcPr>
            <w:tcW w:w="1075" w:type="dxa"/>
            <w:tcBorders>
              <w:top w:val="nil"/>
              <w:left w:val="nil"/>
              <w:bottom w:val="single" w:sz="4" w:space="0" w:color="auto"/>
              <w:right w:val="single" w:sz="4" w:space="0" w:color="auto"/>
            </w:tcBorders>
            <w:shd w:val="clear" w:color="000000" w:fill="FFFFFF"/>
            <w:noWrap/>
            <w:vAlign w:val="bottom"/>
            <w:hideMark/>
          </w:tcPr>
          <w:p w14:paraId="19A9FBF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1148,00</w:t>
            </w:r>
          </w:p>
        </w:tc>
        <w:tc>
          <w:tcPr>
            <w:tcW w:w="1120" w:type="dxa"/>
            <w:tcBorders>
              <w:top w:val="nil"/>
              <w:left w:val="nil"/>
              <w:bottom w:val="single" w:sz="4" w:space="0" w:color="auto"/>
              <w:right w:val="single" w:sz="4" w:space="0" w:color="auto"/>
            </w:tcBorders>
            <w:shd w:val="clear" w:color="000000" w:fill="FFFFFF"/>
            <w:noWrap/>
            <w:vAlign w:val="bottom"/>
            <w:hideMark/>
          </w:tcPr>
          <w:p w14:paraId="2933449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2EDB07E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233,50</w:t>
            </w:r>
          </w:p>
        </w:tc>
        <w:tc>
          <w:tcPr>
            <w:tcW w:w="1120" w:type="dxa"/>
            <w:tcBorders>
              <w:top w:val="nil"/>
              <w:left w:val="nil"/>
              <w:bottom w:val="single" w:sz="4" w:space="0" w:color="auto"/>
              <w:right w:val="single" w:sz="4" w:space="0" w:color="auto"/>
            </w:tcBorders>
            <w:shd w:val="clear" w:color="000000" w:fill="FFFFFF"/>
            <w:noWrap/>
            <w:vAlign w:val="bottom"/>
            <w:hideMark/>
          </w:tcPr>
          <w:p w14:paraId="23CA375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145,00</w:t>
            </w:r>
          </w:p>
        </w:tc>
        <w:tc>
          <w:tcPr>
            <w:tcW w:w="931" w:type="dxa"/>
            <w:tcBorders>
              <w:top w:val="nil"/>
              <w:left w:val="nil"/>
              <w:bottom w:val="single" w:sz="4" w:space="0" w:color="auto"/>
              <w:right w:val="single" w:sz="4" w:space="0" w:color="auto"/>
            </w:tcBorders>
            <w:shd w:val="clear" w:color="000000" w:fill="FFFFFF"/>
            <w:noWrap/>
            <w:vAlign w:val="bottom"/>
            <w:hideMark/>
          </w:tcPr>
          <w:p w14:paraId="1FB95D4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535,00</w:t>
            </w:r>
          </w:p>
        </w:tc>
        <w:tc>
          <w:tcPr>
            <w:tcW w:w="1219" w:type="dxa"/>
            <w:tcBorders>
              <w:top w:val="nil"/>
              <w:left w:val="nil"/>
              <w:bottom w:val="single" w:sz="4" w:space="0" w:color="auto"/>
              <w:right w:val="single" w:sz="4" w:space="0" w:color="auto"/>
            </w:tcBorders>
            <w:shd w:val="clear" w:color="000000" w:fill="FFFFFF"/>
            <w:noWrap/>
            <w:vAlign w:val="bottom"/>
            <w:hideMark/>
          </w:tcPr>
          <w:p w14:paraId="253BEC0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152,20</w:t>
            </w:r>
          </w:p>
        </w:tc>
        <w:tc>
          <w:tcPr>
            <w:tcW w:w="1075" w:type="dxa"/>
            <w:tcBorders>
              <w:top w:val="nil"/>
              <w:left w:val="nil"/>
              <w:bottom w:val="single" w:sz="4" w:space="0" w:color="auto"/>
              <w:right w:val="single" w:sz="4" w:space="0" w:color="auto"/>
            </w:tcBorders>
            <w:shd w:val="clear" w:color="000000" w:fill="FFFFFF"/>
            <w:noWrap/>
            <w:vAlign w:val="bottom"/>
            <w:hideMark/>
          </w:tcPr>
          <w:p w14:paraId="06DB42E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409,00</w:t>
            </w:r>
          </w:p>
        </w:tc>
      </w:tr>
      <w:tr w:rsidR="002D4864" w:rsidRPr="00620F58" w14:paraId="72EE4E15"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63A8679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132</w:t>
            </w:r>
          </w:p>
        </w:tc>
        <w:tc>
          <w:tcPr>
            <w:tcW w:w="1845" w:type="dxa"/>
            <w:tcBorders>
              <w:top w:val="nil"/>
              <w:left w:val="nil"/>
              <w:bottom w:val="single" w:sz="4" w:space="0" w:color="auto"/>
              <w:right w:val="single" w:sz="4" w:space="0" w:color="auto"/>
            </w:tcBorders>
            <w:shd w:val="clear" w:color="F8CBAD" w:fill="FFFFFF"/>
            <w:noWrap/>
            <w:vAlign w:val="bottom"/>
            <w:hideMark/>
          </w:tcPr>
          <w:p w14:paraId="4E9C09D7"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5332571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Vaigu- Rannaküla</w:t>
            </w:r>
          </w:p>
        </w:tc>
        <w:tc>
          <w:tcPr>
            <w:tcW w:w="1075" w:type="dxa"/>
            <w:tcBorders>
              <w:top w:val="nil"/>
              <w:left w:val="nil"/>
              <w:bottom w:val="single" w:sz="4" w:space="0" w:color="auto"/>
              <w:right w:val="single" w:sz="4" w:space="0" w:color="auto"/>
            </w:tcBorders>
            <w:shd w:val="clear" w:color="F8CBAD" w:fill="FFFFFF"/>
            <w:noWrap/>
            <w:vAlign w:val="bottom"/>
            <w:hideMark/>
          </w:tcPr>
          <w:p w14:paraId="4D44135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47A64EA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52249EB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61EA570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7618B0D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2C45A63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8,50</w:t>
            </w:r>
          </w:p>
        </w:tc>
        <w:tc>
          <w:tcPr>
            <w:tcW w:w="1075" w:type="dxa"/>
            <w:tcBorders>
              <w:top w:val="nil"/>
              <w:left w:val="nil"/>
              <w:bottom w:val="single" w:sz="4" w:space="0" w:color="auto"/>
              <w:right w:val="single" w:sz="4" w:space="0" w:color="auto"/>
            </w:tcBorders>
            <w:shd w:val="clear" w:color="F8CBAD" w:fill="FFFFFF"/>
            <w:noWrap/>
            <w:vAlign w:val="bottom"/>
            <w:hideMark/>
          </w:tcPr>
          <w:p w14:paraId="0705572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50,00</w:t>
            </w:r>
          </w:p>
        </w:tc>
      </w:tr>
      <w:tr w:rsidR="002D4864" w:rsidRPr="00620F58" w14:paraId="6F5984D0"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3B367BA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133</w:t>
            </w:r>
          </w:p>
        </w:tc>
        <w:tc>
          <w:tcPr>
            <w:tcW w:w="1845" w:type="dxa"/>
            <w:tcBorders>
              <w:top w:val="nil"/>
              <w:left w:val="nil"/>
              <w:bottom w:val="single" w:sz="4" w:space="0" w:color="auto"/>
              <w:right w:val="single" w:sz="4" w:space="0" w:color="auto"/>
            </w:tcBorders>
            <w:shd w:val="clear" w:color="000000" w:fill="FFFFFF"/>
            <w:noWrap/>
            <w:vAlign w:val="bottom"/>
            <w:hideMark/>
          </w:tcPr>
          <w:p w14:paraId="3433AC6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3D691434"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Valmeranna sadam</w:t>
            </w:r>
          </w:p>
        </w:tc>
        <w:tc>
          <w:tcPr>
            <w:tcW w:w="1075" w:type="dxa"/>
            <w:tcBorders>
              <w:top w:val="nil"/>
              <w:left w:val="nil"/>
              <w:bottom w:val="single" w:sz="4" w:space="0" w:color="auto"/>
              <w:right w:val="single" w:sz="4" w:space="0" w:color="auto"/>
            </w:tcBorders>
            <w:shd w:val="clear" w:color="000000" w:fill="FFFFFF"/>
            <w:noWrap/>
            <w:vAlign w:val="bottom"/>
            <w:hideMark/>
          </w:tcPr>
          <w:p w14:paraId="0338D84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750,00</w:t>
            </w:r>
          </w:p>
        </w:tc>
        <w:tc>
          <w:tcPr>
            <w:tcW w:w="1120" w:type="dxa"/>
            <w:tcBorders>
              <w:top w:val="nil"/>
              <w:left w:val="nil"/>
              <w:bottom w:val="single" w:sz="4" w:space="0" w:color="auto"/>
              <w:right w:val="single" w:sz="4" w:space="0" w:color="auto"/>
            </w:tcBorders>
            <w:shd w:val="clear" w:color="000000" w:fill="FFFFFF"/>
            <w:noWrap/>
            <w:vAlign w:val="bottom"/>
            <w:hideMark/>
          </w:tcPr>
          <w:p w14:paraId="36CCBC0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1011,50</w:t>
            </w:r>
          </w:p>
        </w:tc>
        <w:tc>
          <w:tcPr>
            <w:tcW w:w="1140" w:type="dxa"/>
            <w:tcBorders>
              <w:top w:val="nil"/>
              <w:left w:val="nil"/>
              <w:bottom w:val="single" w:sz="4" w:space="0" w:color="auto"/>
              <w:right w:val="single" w:sz="4" w:space="0" w:color="auto"/>
            </w:tcBorders>
            <w:shd w:val="clear" w:color="000000" w:fill="FFFFFF"/>
            <w:noWrap/>
            <w:vAlign w:val="bottom"/>
            <w:hideMark/>
          </w:tcPr>
          <w:p w14:paraId="675756C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000000" w:fill="FFFFFF"/>
            <w:noWrap/>
            <w:vAlign w:val="bottom"/>
            <w:hideMark/>
          </w:tcPr>
          <w:p w14:paraId="1CA809A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1298,00</w:t>
            </w:r>
          </w:p>
        </w:tc>
        <w:tc>
          <w:tcPr>
            <w:tcW w:w="931" w:type="dxa"/>
            <w:tcBorders>
              <w:top w:val="nil"/>
              <w:left w:val="nil"/>
              <w:bottom w:val="single" w:sz="4" w:space="0" w:color="auto"/>
              <w:right w:val="single" w:sz="4" w:space="0" w:color="auto"/>
            </w:tcBorders>
            <w:shd w:val="clear" w:color="000000" w:fill="FFFFFF"/>
            <w:noWrap/>
            <w:vAlign w:val="bottom"/>
            <w:hideMark/>
          </w:tcPr>
          <w:p w14:paraId="7586EF7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1192,00</w:t>
            </w:r>
          </w:p>
        </w:tc>
        <w:tc>
          <w:tcPr>
            <w:tcW w:w="1219" w:type="dxa"/>
            <w:tcBorders>
              <w:top w:val="nil"/>
              <w:left w:val="nil"/>
              <w:bottom w:val="single" w:sz="4" w:space="0" w:color="auto"/>
              <w:right w:val="single" w:sz="4" w:space="0" w:color="auto"/>
            </w:tcBorders>
            <w:shd w:val="clear" w:color="000000" w:fill="FFFFFF"/>
            <w:noWrap/>
            <w:vAlign w:val="bottom"/>
            <w:hideMark/>
          </w:tcPr>
          <w:p w14:paraId="549E3B2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863,00</w:t>
            </w:r>
          </w:p>
        </w:tc>
        <w:tc>
          <w:tcPr>
            <w:tcW w:w="1075" w:type="dxa"/>
            <w:tcBorders>
              <w:top w:val="nil"/>
              <w:left w:val="nil"/>
              <w:bottom w:val="single" w:sz="4" w:space="0" w:color="auto"/>
              <w:right w:val="single" w:sz="4" w:space="0" w:color="auto"/>
            </w:tcBorders>
            <w:shd w:val="clear" w:color="000000" w:fill="FFFFFF"/>
            <w:noWrap/>
            <w:vAlign w:val="bottom"/>
            <w:hideMark/>
          </w:tcPr>
          <w:p w14:paraId="554FBED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1309,00</w:t>
            </w:r>
          </w:p>
        </w:tc>
      </w:tr>
      <w:tr w:rsidR="002D4864" w:rsidRPr="00620F58" w14:paraId="6E54B5CB"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84914A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134</w:t>
            </w:r>
          </w:p>
        </w:tc>
        <w:tc>
          <w:tcPr>
            <w:tcW w:w="1845" w:type="dxa"/>
            <w:tcBorders>
              <w:top w:val="nil"/>
              <w:left w:val="nil"/>
              <w:bottom w:val="single" w:sz="4" w:space="0" w:color="auto"/>
              <w:right w:val="single" w:sz="4" w:space="0" w:color="auto"/>
            </w:tcBorders>
            <w:shd w:val="clear" w:color="000000" w:fill="FFFFFF"/>
            <w:noWrap/>
            <w:vAlign w:val="bottom"/>
            <w:hideMark/>
          </w:tcPr>
          <w:p w14:paraId="06AB071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6A3BD9D1"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Varese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1520065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6958,00</w:t>
            </w:r>
          </w:p>
        </w:tc>
        <w:tc>
          <w:tcPr>
            <w:tcW w:w="1120" w:type="dxa"/>
            <w:tcBorders>
              <w:top w:val="nil"/>
              <w:left w:val="nil"/>
              <w:bottom w:val="single" w:sz="4" w:space="0" w:color="auto"/>
              <w:right w:val="single" w:sz="4" w:space="0" w:color="auto"/>
            </w:tcBorders>
            <w:shd w:val="clear" w:color="000000" w:fill="FFFFFF"/>
            <w:noWrap/>
            <w:vAlign w:val="bottom"/>
            <w:hideMark/>
          </w:tcPr>
          <w:p w14:paraId="089EE74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1888,00</w:t>
            </w:r>
          </w:p>
        </w:tc>
        <w:tc>
          <w:tcPr>
            <w:tcW w:w="1140" w:type="dxa"/>
            <w:tcBorders>
              <w:top w:val="nil"/>
              <w:left w:val="nil"/>
              <w:bottom w:val="single" w:sz="4" w:space="0" w:color="auto"/>
              <w:right w:val="single" w:sz="4" w:space="0" w:color="auto"/>
            </w:tcBorders>
            <w:shd w:val="clear" w:color="000000" w:fill="FFFFFF"/>
            <w:noWrap/>
            <w:vAlign w:val="bottom"/>
            <w:hideMark/>
          </w:tcPr>
          <w:p w14:paraId="531C76A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1344,00</w:t>
            </w:r>
          </w:p>
        </w:tc>
        <w:tc>
          <w:tcPr>
            <w:tcW w:w="1120" w:type="dxa"/>
            <w:tcBorders>
              <w:top w:val="nil"/>
              <w:left w:val="nil"/>
              <w:bottom w:val="single" w:sz="4" w:space="0" w:color="auto"/>
              <w:right w:val="single" w:sz="4" w:space="0" w:color="auto"/>
            </w:tcBorders>
            <w:shd w:val="clear" w:color="000000" w:fill="FFFFFF"/>
            <w:noWrap/>
            <w:vAlign w:val="bottom"/>
            <w:hideMark/>
          </w:tcPr>
          <w:p w14:paraId="06018E7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239,70</w:t>
            </w:r>
          </w:p>
        </w:tc>
        <w:tc>
          <w:tcPr>
            <w:tcW w:w="931" w:type="dxa"/>
            <w:tcBorders>
              <w:top w:val="nil"/>
              <w:left w:val="nil"/>
              <w:bottom w:val="single" w:sz="4" w:space="0" w:color="auto"/>
              <w:right w:val="single" w:sz="4" w:space="0" w:color="auto"/>
            </w:tcBorders>
            <w:shd w:val="clear" w:color="000000" w:fill="FFFFFF"/>
            <w:noWrap/>
            <w:vAlign w:val="bottom"/>
            <w:hideMark/>
          </w:tcPr>
          <w:p w14:paraId="04C20C0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2711,00</w:t>
            </w:r>
          </w:p>
        </w:tc>
        <w:tc>
          <w:tcPr>
            <w:tcW w:w="1219" w:type="dxa"/>
            <w:tcBorders>
              <w:top w:val="nil"/>
              <w:left w:val="nil"/>
              <w:bottom w:val="single" w:sz="4" w:space="0" w:color="auto"/>
              <w:right w:val="single" w:sz="4" w:space="0" w:color="auto"/>
            </w:tcBorders>
            <w:shd w:val="clear" w:color="000000" w:fill="FFFFFF"/>
            <w:noWrap/>
            <w:vAlign w:val="bottom"/>
            <w:hideMark/>
          </w:tcPr>
          <w:p w14:paraId="2353F18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4337,80</w:t>
            </w:r>
          </w:p>
        </w:tc>
        <w:tc>
          <w:tcPr>
            <w:tcW w:w="1075" w:type="dxa"/>
            <w:tcBorders>
              <w:top w:val="nil"/>
              <w:left w:val="nil"/>
              <w:bottom w:val="single" w:sz="4" w:space="0" w:color="auto"/>
              <w:right w:val="single" w:sz="4" w:space="0" w:color="auto"/>
            </w:tcBorders>
            <w:shd w:val="clear" w:color="000000" w:fill="FFFFFF"/>
            <w:noWrap/>
            <w:vAlign w:val="bottom"/>
            <w:hideMark/>
          </w:tcPr>
          <w:p w14:paraId="6665E6D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1624,70</w:t>
            </w:r>
          </w:p>
        </w:tc>
      </w:tr>
      <w:tr w:rsidR="002D4864" w:rsidRPr="00620F58" w14:paraId="1C2BAF57"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2CF0CB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135</w:t>
            </w:r>
          </w:p>
        </w:tc>
        <w:tc>
          <w:tcPr>
            <w:tcW w:w="1845" w:type="dxa"/>
            <w:tcBorders>
              <w:top w:val="nil"/>
              <w:left w:val="nil"/>
              <w:bottom w:val="single" w:sz="4" w:space="0" w:color="auto"/>
              <w:right w:val="single" w:sz="4" w:space="0" w:color="auto"/>
            </w:tcBorders>
            <w:shd w:val="clear" w:color="000000" w:fill="FFFFFF"/>
            <w:noWrap/>
            <w:vAlign w:val="bottom"/>
            <w:hideMark/>
          </w:tcPr>
          <w:p w14:paraId="1C282FA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4CB8418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Veerenina</w:t>
            </w:r>
          </w:p>
        </w:tc>
        <w:tc>
          <w:tcPr>
            <w:tcW w:w="1075" w:type="dxa"/>
            <w:tcBorders>
              <w:top w:val="nil"/>
              <w:left w:val="nil"/>
              <w:bottom w:val="single" w:sz="4" w:space="0" w:color="auto"/>
              <w:right w:val="single" w:sz="4" w:space="0" w:color="auto"/>
            </w:tcBorders>
            <w:shd w:val="clear" w:color="000000" w:fill="FFFFFF"/>
            <w:noWrap/>
            <w:vAlign w:val="bottom"/>
            <w:hideMark/>
          </w:tcPr>
          <w:p w14:paraId="53B7A70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1857,50</w:t>
            </w:r>
          </w:p>
        </w:tc>
        <w:tc>
          <w:tcPr>
            <w:tcW w:w="1120" w:type="dxa"/>
            <w:tcBorders>
              <w:top w:val="nil"/>
              <w:left w:val="nil"/>
              <w:bottom w:val="single" w:sz="4" w:space="0" w:color="auto"/>
              <w:right w:val="single" w:sz="4" w:space="0" w:color="auto"/>
            </w:tcBorders>
            <w:shd w:val="clear" w:color="000000" w:fill="FFFFFF"/>
            <w:noWrap/>
            <w:vAlign w:val="bottom"/>
            <w:hideMark/>
          </w:tcPr>
          <w:p w14:paraId="4790559E"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793,90</w:t>
            </w:r>
          </w:p>
        </w:tc>
        <w:tc>
          <w:tcPr>
            <w:tcW w:w="1140" w:type="dxa"/>
            <w:tcBorders>
              <w:top w:val="nil"/>
              <w:left w:val="nil"/>
              <w:bottom w:val="single" w:sz="4" w:space="0" w:color="auto"/>
              <w:right w:val="single" w:sz="4" w:space="0" w:color="auto"/>
            </w:tcBorders>
            <w:shd w:val="clear" w:color="000000" w:fill="FFFFFF"/>
            <w:noWrap/>
            <w:vAlign w:val="bottom"/>
            <w:hideMark/>
          </w:tcPr>
          <w:p w14:paraId="07317B9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841,00</w:t>
            </w:r>
          </w:p>
        </w:tc>
        <w:tc>
          <w:tcPr>
            <w:tcW w:w="1120" w:type="dxa"/>
            <w:tcBorders>
              <w:top w:val="nil"/>
              <w:left w:val="nil"/>
              <w:bottom w:val="single" w:sz="4" w:space="0" w:color="auto"/>
              <w:right w:val="single" w:sz="4" w:space="0" w:color="auto"/>
            </w:tcBorders>
            <w:shd w:val="clear" w:color="000000" w:fill="FFFFFF"/>
            <w:noWrap/>
            <w:vAlign w:val="bottom"/>
            <w:hideMark/>
          </w:tcPr>
          <w:p w14:paraId="105E5C7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1218,40</w:t>
            </w:r>
          </w:p>
        </w:tc>
        <w:tc>
          <w:tcPr>
            <w:tcW w:w="931" w:type="dxa"/>
            <w:tcBorders>
              <w:top w:val="nil"/>
              <w:left w:val="nil"/>
              <w:bottom w:val="single" w:sz="4" w:space="0" w:color="auto"/>
              <w:right w:val="single" w:sz="4" w:space="0" w:color="auto"/>
            </w:tcBorders>
            <w:shd w:val="clear" w:color="000000" w:fill="FFFFFF"/>
            <w:noWrap/>
            <w:vAlign w:val="bottom"/>
            <w:hideMark/>
          </w:tcPr>
          <w:p w14:paraId="0F0E2590"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985,00</w:t>
            </w:r>
          </w:p>
        </w:tc>
        <w:tc>
          <w:tcPr>
            <w:tcW w:w="1219" w:type="dxa"/>
            <w:tcBorders>
              <w:top w:val="nil"/>
              <w:left w:val="nil"/>
              <w:bottom w:val="single" w:sz="4" w:space="0" w:color="auto"/>
              <w:right w:val="single" w:sz="4" w:space="0" w:color="auto"/>
            </w:tcBorders>
            <w:shd w:val="clear" w:color="000000" w:fill="FFFFFF"/>
            <w:noWrap/>
            <w:vAlign w:val="bottom"/>
            <w:hideMark/>
          </w:tcPr>
          <w:p w14:paraId="2CC3C11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310,70</w:t>
            </w:r>
          </w:p>
        </w:tc>
        <w:tc>
          <w:tcPr>
            <w:tcW w:w="1075" w:type="dxa"/>
            <w:tcBorders>
              <w:top w:val="nil"/>
              <w:left w:val="nil"/>
              <w:bottom w:val="single" w:sz="4" w:space="0" w:color="auto"/>
              <w:right w:val="single" w:sz="4" w:space="0" w:color="auto"/>
            </w:tcBorders>
            <w:shd w:val="clear" w:color="000000" w:fill="FFFFFF"/>
            <w:noWrap/>
            <w:vAlign w:val="bottom"/>
            <w:hideMark/>
          </w:tcPr>
          <w:p w14:paraId="6CD400B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449,20</w:t>
            </w:r>
          </w:p>
        </w:tc>
      </w:tr>
      <w:tr w:rsidR="002D4864" w:rsidRPr="00620F58" w14:paraId="3709752F"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52F26E0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136</w:t>
            </w:r>
          </w:p>
        </w:tc>
        <w:tc>
          <w:tcPr>
            <w:tcW w:w="1845" w:type="dxa"/>
            <w:tcBorders>
              <w:top w:val="nil"/>
              <w:left w:val="nil"/>
              <w:bottom w:val="single" w:sz="4" w:space="0" w:color="auto"/>
              <w:right w:val="single" w:sz="4" w:space="0" w:color="auto"/>
            </w:tcBorders>
            <w:shd w:val="clear" w:color="000000" w:fill="FFFFFF"/>
            <w:noWrap/>
            <w:vAlign w:val="bottom"/>
            <w:hideMark/>
          </w:tcPr>
          <w:p w14:paraId="3974D392"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51E562A0"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Veere sadam</w:t>
            </w:r>
          </w:p>
        </w:tc>
        <w:tc>
          <w:tcPr>
            <w:tcW w:w="1075" w:type="dxa"/>
            <w:tcBorders>
              <w:top w:val="nil"/>
              <w:left w:val="nil"/>
              <w:bottom w:val="single" w:sz="4" w:space="0" w:color="auto"/>
              <w:right w:val="single" w:sz="4" w:space="0" w:color="auto"/>
            </w:tcBorders>
            <w:shd w:val="clear" w:color="000000" w:fill="FFFFFF"/>
            <w:noWrap/>
            <w:vAlign w:val="bottom"/>
            <w:hideMark/>
          </w:tcPr>
          <w:p w14:paraId="680585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29887,40</w:t>
            </w:r>
          </w:p>
        </w:tc>
        <w:tc>
          <w:tcPr>
            <w:tcW w:w="1120" w:type="dxa"/>
            <w:tcBorders>
              <w:top w:val="nil"/>
              <w:left w:val="nil"/>
              <w:bottom w:val="single" w:sz="4" w:space="0" w:color="auto"/>
              <w:right w:val="single" w:sz="4" w:space="0" w:color="auto"/>
            </w:tcBorders>
            <w:shd w:val="clear" w:color="000000" w:fill="FFFFFF"/>
            <w:noWrap/>
            <w:vAlign w:val="bottom"/>
            <w:hideMark/>
          </w:tcPr>
          <w:p w14:paraId="36D0A67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19984,20</w:t>
            </w:r>
          </w:p>
        </w:tc>
        <w:tc>
          <w:tcPr>
            <w:tcW w:w="1140" w:type="dxa"/>
            <w:tcBorders>
              <w:top w:val="nil"/>
              <w:left w:val="nil"/>
              <w:bottom w:val="single" w:sz="4" w:space="0" w:color="auto"/>
              <w:right w:val="single" w:sz="4" w:space="0" w:color="auto"/>
            </w:tcBorders>
            <w:shd w:val="clear" w:color="000000" w:fill="FFFFFF"/>
            <w:noWrap/>
            <w:vAlign w:val="bottom"/>
            <w:hideMark/>
          </w:tcPr>
          <w:p w14:paraId="7D8E0F0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19491,10</w:t>
            </w:r>
          </w:p>
        </w:tc>
        <w:tc>
          <w:tcPr>
            <w:tcW w:w="1120" w:type="dxa"/>
            <w:tcBorders>
              <w:top w:val="nil"/>
              <w:left w:val="nil"/>
              <w:bottom w:val="single" w:sz="4" w:space="0" w:color="auto"/>
              <w:right w:val="single" w:sz="4" w:space="0" w:color="auto"/>
            </w:tcBorders>
            <w:shd w:val="clear" w:color="000000" w:fill="FFFFFF"/>
            <w:noWrap/>
            <w:vAlign w:val="bottom"/>
            <w:hideMark/>
          </w:tcPr>
          <w:p w14:paraId="4DE3281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16975,00</w:t>
            </w:r>
          </w:p>
        </w:tc>
        <w:tc>
          <w:tcPr>
            <w:tcW w:w="931" w:type="dxa"/>
            <w:tcBorders>
              <w:top w:val="nil"/>
              <w:left w:val="nil"/>
              <w:bottom w:val="single" w:sz="4" w:space="0" w:color="auto"/>
              <w:right w:val="single" w:sz="4" w:space="0" w:color="auto"/>
            </w:tcBorders>
            <w:shd w:val="clear" w:color="000000" w:fill="FFFFFF"/>
            <w:noWrap/>
            <w:vAlign w:val="bottom"/>
            <w:hideMark/>
          </w:tcPr>
          <w:p w14:paraId="1E856B7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18271,00</w:t>
            </w:r>
          </w:p>
        </w:tc>
        <w:tc>
          <w:tcPr>
            <w:tcW w:w="1219" w:type="dxa"/>
            <w:tcBorders>
              <w:top w:val="nil"/>
              <w:left w:val="nil"/>
              <w:bottom w:val="single" w:sz="4" w:space="0" w:color="auto"/>
              <w:right w:val="single" w:sz="4" w:space="0" w:color="auto"/>
            </w:tcBorders>
            <w:shd w:val="clear" w:color="000000" w:fill="FFFFFF"/>
            <w:noWrap/>
            <w:vAlign w:val="bottom"/>
            <w:hideMark/>
          </w:tcPr>
          <w:p w14:paraId="7F77C8A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15563,15</w:t>
            </w:r>
          </w:p>
        </w:tc>
        <w:tc>
          <w:tcPr>
            <w:tcW w:w="1075" w:type="dxa"/>
            <w:tcBorders>
              <w:top w:val="nil"/>
              <w:left w:val="nil"/>
              <w:bottom w:val="single" w:sz="4" w:space="0" w:color="auto"/>
              <w:right w:val="single" w:sz="4" w:space="0" w:color="auto"/>
            </w:tcBorders>
            <w:shd w:val="clear" w:color="000000" w:fill="FFFFFF"/>
            <w:noWrap/>
            <w:vAlign w:val="bottom"/>
            <w:hideMark/>
          </w:tcPr>
          <w:p w14:paraId="3158CEF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11342,75</w:t>
            </w:r>
          </w:p>
        </w:tc>
      </w:tr>
      <w:tr w:rsidR="002D4864" w:rsidRPr="00620F58" w14:paraId="0C9D9EF2"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00E16B8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137</w:t>
            </w:r>
          </w:p>
        </w:tc>
        <w:tc>
          <w:tcPr>
            <w:tcW w:w="1845" w:type="dxa"/>
            <w:tcBorders>
              <w:top w:val="nil"/>
              <w:left w:val="nil"/>
              <w:bottom w:val="single" w:sz="4" w:space="0" w:color="auto"/>
              <w:right w:val="single" w:sz="4" w:space="0" w:color="auto"/>
            </w:tcBorders>
            <w:shd w:val="clear" w:color="F8CBAD" w:fill="FFFFFF"/>
            <w:noWrap/>
            <w:vAlign w:val="bottom"/>
            <w:hideMark/>
          </w:tcPr>
          <w:p w14:paraId="62E729F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5942596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Veere vanasadam</w:t>
            </w:r>
          </w:p>
        </w:tc>
        <w:tc>
          <w:tcPr>
            <w:tcW w:w="1075" w:type="dxa"/>
            <w:tcBorders>
              <w:top w:val="nil"/>
              <w:left w:val="nil"/>
              <w:bottom w:val="single" w:sz="4" w:space="0" w:color="auto"/>
              <w:right w:val="single" w:sz="4" w:space="0" w:color="auto"/>
            </w:tcBorders>
            <w:shd w:val="clear" w:color="F8CBAD" w:fill="FFFFFF"/>
            <w:noWrap/>
            <w:vAlign w:val="bottom"/>
            <w:hideMark/>
          </w:tcPr>
          <w:p w14:paraId="616C93D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1D708DA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F8CBAD" w:fill="FFFFFF"/>
            <w:noWrap/>
            <w:vAlign w:val="bottom"/>
            <w:hideMark/>
          </w:tcPr>
          <w:p w14:paraId="01F609E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56E656B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5D99204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5678B3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112,00</w:t>
            </w:r>
          </w:p>
        </w:tc>
        <w:tc>
          <w:tcPr>
            <w:tcW w:w="1075" w:type="dxa"/>
            <w:tcBorders>
              <w:top w:val="nil"/>
              <w:left w:val="nil"/>
              <w:bottom w:val="single" w:sz="4" w:space="0" w:color="auto"/>
              <w:right w:val="single" w:sz="4" w:space="0" w:color="auto"/>
            </w:tcBorders>
            <w:shd w:val="clear" w:color="F8CBAD" w:fill="FFFFFF"/>
            <w:noWrap/>
            <w:vAlign w:val="bottom"/>
            <w:hideMark/>
          </w:tcPr>
          <w:p w14:paraId="6F7C3F8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w:t>
            </w:r>
          </w:p>
        </w:tc>
      </w:tr>
      <w:tr w:rsidR="002D4864" w:rsidRPr="00620F58" w14:paraId="7F4ED19E"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5E7644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138</w:t>
            </w:r>
          </w:p>
        </w:tc>
        <w:tc>
          <w:tcPr>
            <w:tcW w:w="1845" w:type="dxa"/>
            <w:tcBorders>
              <w:top w:val="nil"/>
              <w:left w:val="nil"/>
              <w:bottom w:val="single" w:sz="4" w:space="0" w:color="auto"/>
              <w:right w:val="single" w:sz="4" w:space="0" w:color="auto"/>
            </w:tcBorders>
            <w:shd w:val="clear" w:color="000000" w:fill="FFFFFF"/>
            <w:noWrap/>
            <w:vAlign w:val="bottom"/>
            <w:hideMark/>
          </w:tcPr>
          <w:p w14:paraId="68FF0B1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E2F0D9" w:fill="FFFFFF"/>
            <w:noWrap/>
            <w:vAlign w:val="bottom"/>
            <w:hideMark/>
          </w:tcPr>
          <w:p w14:paraId="1B59C25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Vikati sadam</w:t>
            </w:r>
          </w:p>
        </w:tc>
        <w:tc>
          <w:tcPr>
            <w:tcW w:w="1075" w:type="dxa"/>
            <w:tcBorders>
              <w:top w:val="nil"/>
              <w:left w:val="nil"/>
              <w:bottom w:val="single" w:sz="4" w:space="0" w:color="auto"/>
              <w:right w:val="single" w:sz="4" w:space="0" w:color="auto"/>
            </w:tcBorders>
            <w:shd w:val="clear" w:color="000000" w:fill="FFFFFF"/>
            <w:noWrap/>
            <w:vAlign w:val="bottom"/>
            <w:hideMark/>
          </w:tcPr>
          <w:p w14:paraId="5D81013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575,00</w:t>
            </w:r>
          </w:p>
        </w:tc>
        <w:tc>
          <w:tcPr>
            <w:tcW w:w="1120" w:type="dxa"/>
            <w:tcBorders>
              <w:top w:val="nil"/>
              <w:left w:val="nil"/>
              <w:bottom w:val="single" w:sz="4" w:space="0" w:color="auto"/>
              <w:right w:val="single" w:sz="4" w:space="0" w:color="auto"/>
            </w:tcBorders>
            <w:shd w:val="clear" w:color="000000" w:fill="FFFFFF"/>
            <w:noWrap/>
            <w:vAlign w:val="bottom"/>
            <w:hideMark/>
          </w:tcPr>
          <w:p w14:paraId="39182F4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277,70</w:t>
            </w:r>
          </w:p>
        </w:tc>
        <w:tc>
          <w:tcPr>
            <w:tcW w:w="1140" w:type="dxa"/>
            <w:tcBorders>
              <w:top w:val="nil"/>
              <w:left w:val="nil"/>
              <w:bottom w:val="single" w:sz="4" w:space="0" w:color="auto"/>
              <w:right w:val="single" w:sz="4" w:space="0" w:color="auto"/>
            </w:tcBorders>
            <w:shd w:val="clear" w:color="000000" w:fill="FFFFFF"/>
            <w:noWrap/>
            <w:vAlign w:val="bottom"/>
            <w:hideMark/>
          </w:tcPr>
          <w:p w14:paraId="6FDAE5F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753,20</w:t>
            </w:r>
          </w:p>
        </w:tc>
        <w:tc>
          <w:tcPr>
            <w:tcW w:w="1120" w:type="dxa"/>
            <w:tcBorders>
              <w:top w:val="nil"/>
              <w:left w:val="nil"/>
              <w:bottom w:val="single" w:sz="4" w:space="0" w:color="auto"/>
              <w:right w:val="single" w:sz="4" w:space="0" w:color="auto"/>
            </w:tcBorders>
            <w:shd w:val="clear" w:color="000000" w:fill="FFFFFF"/>
            <w:noWrap/>
            <w:vAlign w:val="bottom"/>
            <w:hideMark/>
          </w:tcPr>
          <w:p w14:paraId="3BB5753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874,20</w:t>
            </w:r>
          </w:p>
        </w:tc>
        <w:tc>
          <w:tcPr>
            <w:tcW w:w="931" w:type="dxa"/>
            <w:tcBorders>
              <w:top w:val="nil"/>
              <w:left w:val="nil"/>
              <w:bottom w:val="single" w:sz="4" w:space="0" w:color="auto"/>
              <w:right w:val="single" w:sz="4" w:space="0" w:color="auto"/>
            </w:tcBorders>
            <w:shd w:val="clear" w:color="000000" w:fill="FFFFFF"/>
            <w:noWrap/>
            <w:vAlign w:val="bottom"/>
            <w:hideMark/>
          </w:tcPr>
          <w:p w14:paraId="3B5ED79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71,00</w:t>
            </w:r>
          </w:p>
        </w:tc>
        <w:tc>
          <w:tcPr>
            <w:tcW w:w="1219" w:type="dxa"/>
            <w:tcBorders>
              <w:top w:val="nil"/>
              <w:left w:val="nil"/>
              <w:bottom w:val="single" w:sz="4" w:space="0" w:color="auto"/>
              <w:right w:val="single" w:sz="4" w:space="0" w:color="auto"/>
            </w:tcBorders>
            <w:shd w:val="clear" w:color="000000" w:fill="FFFFFF"/>
            <w:noWrap/>
            <w:vAlign w:val="bottom"/>
            <w:hideMark/>
          </w:tcPr>
          <w:p w14:paraId="4082559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820,60</w:t>
            </w:r>
          </w:p>
        </w:tc>
        <w:tc>
          <w:tcPr>
            <w:tcW w:w="1075" w:type="dxa"/>
            <w:tcBorders>
              <w:top w:val="nil"/>
              <w:left w:val="nil"/>
              <w:bottom w:val="single" w:sz="4" w:space="0" w:color="auto"/>
              <w:right w:val="single" w:sz="4" w:space="0" w:color="auto"/>
            </w:tcBorders>
            <w:shd w:val="clear" w:color="000000" w:fill="FFFFFF"/>
            <w:noWrap/>
            <w:vAlign w:val="bottom"/>
            <w:hideMark/>
          </w:tcPr>
          <w:p w14:paraId="631A342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747,20</w:t>
            </w:r>
          </w:p>
        </w:tc>
      </w:tr>
      <w:tr w:rsidR="002D4864" w:rsidRPr="00620F58" w14:paraId="449947B6"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0DCC8F5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139</w:t>
            </w:r>
          </w:p>
        </w:tc>
        <w:tc>
          <w:tcPr>
            <w:tcW w:w="1845" w:type="dxa"/>
            <w:tcBorders>
              <w:top w:val="nil"/>
              <w:left w:val="nil"/>
              <w:bottom w:val="single" w:sz="4" w:space="0" w:color="auto"/>
              <w:right w:val="single" w:sz="4" w:space="0" w:color="auto"/>
            </w:tcBorders>
            <w:shd w:val="clear" w:color="000000" w:fill="FFFFFF"/>
            <w:noWrap/>
            <w:vAlign w:val="bottom"/>
            <w:hideMark/>
          </w:tcPr>
          <w:p w14:paraId="7BA4AB16"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7744760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Vilsandi sadam</w:t>
            </w:r>
          </w:p>
        </w:tc>
        <w:tc>
          <w:tcPr>
            <w:tcW w:w="1075" w:type="dxa"/>
            <w:tcBorders>
              <w:top w:val="nil"/>
              <w:left w:val="nil"/>
              <w:bottom w:val="single" w:sz="4" w:space="0" w:color="auto"/>
              <w:right w:val="single" w:sz="4" w:space="0" w:color="auto"/>
            </w:tcBorders>
            <w:shd w:val="clear" w:color="000000" w:fill="FFFFFF"/>
            <w:noWrap/>
            <w:vAlign w:val="bottom"/>
            <w:hideMark/>
          </w:tcPr>
          <w:p w14:paraId="1871FC1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15,50</w:t>
            </w:r>
          </w:p>
        </w:tc>
        <w:tc>
          <w:tcPr>
            <w:tcW w:w="1120" w:type="dxa"/>
            <w:tcBorders>
              <w:top w:val="nil"/>
              <w:left w:val="nil"/>
              <w:bottom w:val="single" w:sz="4" w:space="0" w:color="auto"/>
              <w:right w:val="single" w:sz="4" w:space="0" w:color="auto"/>
            </w:tcBorders>
            <w:shd w:val="clear" w:color="000000" w:fill="FFFFFF"/>
            <w:noWrap/>
            <w:vAlign w:val="bottom"/>
            <w:hideMark/>
          </w:tcPr>
          <w:p w14:paraId="67E09B5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40" w:type="dxa"/>
            <w:tcBorders>
              <w:top w:val="nil"/>
              <w:left w:val="nil"/>
              <w:bottom w:val="single" w:sz="4" w:space="0" w:color="auto"/>
              <w:right w:val="single" w:sz="4" w:space="0" w:color="auto"/>
            </w:tcBorders>
            <w:shd w:val="clear" w:color="000000" w:fill="FFFFFF"/>
            <w:noWrap/>
            <w:vAlign w:val="bottom"/>
            <w:hideMark/>
          </w:tcPr>
          <w:p w14:paraId="2EB4B0D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240,00</w:t>
            </w:r>
          </w:p>
        </w:tc>
        <w:tc>
          <w:tcPr>
            <w:tcW w:w="1120" w:type="dxa"/>
            <w:tcBorders>
              <w:top w:val="nil"/>
              <w:left w:val="nil"/>
              <w:bottom w:val="single" w:sz="4" w:space="0" w:color="auto"/>
              <w:right w:val="single" w:sz="4" w:space="0" w:color="auto"/>
            </w:tcBorders>
            <w:shd w:val="clear" w:color="000000" w:fill="FFFFFF"/>
            <w:noWrap/>
            <w:vAlign w:val="bottom"/>
            <w:hideMark/>
          </w:tcPr>
          <w:p w14:paraId="64F156E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000000" w:fill="FFFFFF"/>
            <w:noWrap/>
            <w:vAlign w:val="bottom"/>
            <w:hideMark/>
          </w:tcPr>
          <w:p w14:paraId="19A01FE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926,00</w:t>
            </w:r>
          </w:p>
        </w:tc>
        <w:tc>
          <w:tcPr>
            <w:tcW w:w="1219" w:type="dxa"/>
            <w:tcBorders>
              <w:top w:val="nil"/>
              <w:left w:val="nil"/>
              <w:bottom w:val="single" w:sz="4" w:space="0" w:color="auto"/>
              <w:right w:val="single" w:sz="4" w:space="0" w:color="auto"/>
            </w:tcBorders>
            <w:shd w:val="clear" w:color="000000" w:fill="FFFFFF"/>
            <w:noWrap/>
            <w:vAlign w:val="bottom"/>
            <w:hideMark/>
          </w:tcPr>
          <w:p w14:paraId="2EF5CDE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51,50</w:t>
            </w:r>
          </w:p>
        </w:tc>
        <w:tc>
          <w:tcPr>
            <w:tcW w:w="1075" w:type="dxa"/>
            <w:tcBorders>
              <w:top w:val="nil"/>
              <w:left w:val="nil"/>
              <w:bottom w:val="single" w:sz="4" w:space="0" w:color="auto"/>
              <w:right w:val="single" w:sz="4" w:space="0" w:color="auto"/>
            </w:tcBorders>
            <w:shd w:val="clear" w:color="000000" w:fill="FFFFFF"/>
            <w:noWrap/>
            <w:vAlign w:val="bottom"/>
            <w:hideMark/>
          </w:tcPr>
          <w:p w14:paraId="26E89B4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260,00</w:t>
            </w:r>
          </w:p>
        </w:tc>
      </w:tr>
      <w:tr w:rsidR="002D4864" w:rsidRPr="00620F58" w14:paraId="045A4BEF"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4760D9F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140</w:t>
            </w:r>
          </w:p>
        </w:tc>
        <w:tc>
          <w:tcPr>
            <w:tcW w:w="1845" w:type="dxa"/>
            <w:tcBorders>
              <w:top w:val="nil"/>
              <w:left w:val="nil"/>
              <w:bottom w:val="single" w:sz="4" w:space="0" w:color="auto"/>
              <w:right w:val="single" w:sz="4" w:space="0" w:color="auto"/>
            </w:tcBorders>
            <w:shd w:val="clear" w:color="000000" w:fill="FFFFFF"/>
            <w:noWrap/>
            <w:vAlign w:val="bottom"/>
            <w:hideMark/>
          </w:tcPr>
          <w:p w14:paraId="69960808"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3BBF030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Viltina</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29E51C5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200,00</w:t>
            </w:r>
          </w:p>
        </w:tc>
        <w:tc>
          <w:tcPr>
            <w:tcW w:w="1120" w:type="dxa"/>
            <w:tcBorders>
              <w:top w:val="nil"/>
              <w:left w:val="nil"/>
              <w:bottom w:val="single" w:sz="4" w:space="0" w:color="auto"/>
              <w:right w:val="single" w:sz="4" w:space="0" w:color="auto"/>
            </w:tcBorders>
            <w:shd w:val="clear" w:color="000000" w:fill="FFFFFF"/>
            <w:noWrap/>
            <w:vAlign w:val="bottom"/>
            <w:hideMark/>
          </w:tcPr>
          <w:p w14:paraId="557DBAF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146,00</w:t>
            </w:r>
          </w:p>
        </w:tc>
        <w:tc>
          <w:tcPr>
            <w:tcW w:w="1140" w:type="dxa"/>
            <w:tcBorders>
              <w:top w:val="nil"/>
              <w:left w:val="nil"/>
              <w:bottom w:val="single" w:sz="4" w:space="0" w:color="auto"/>
              <w:right w:val="single" w:sz="4" w:space="0" w:color="auto"/>
            </w:tcBorders>
            <w:shd w:val="clear" w:color="000000" w:fill="FFFFFF"/>
            <w:noWrap/>
            <w:vAlign w:val="bottom"/>
            <w:hideMark/>
          </w:tcPr>
          <w:p w14:paraId="537A120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89,00</w:t>
            </w:r>
          </w:p>
        </w:tc>
        <w:tc>
          <w:tcPr>
            <w:tcW w:w="1120" w:type="dxa"/>
            <w:tcBorders>
              <w:top w:val="nil"/>
              <w:left w:val="nil"/>
              <w:bottom w:val="single" w:sz="4" w:space="0" w:color="auto"/>
              <w:right w:val="single" w:sz="4" w:space="0" w:color="auto"/>
            </w:tcBorders>
            <w:shd w:val="clear" w:color="000000" w:fill="FFFFFF"/>
            <w:noWrap/>
            <w:vAlign w:val="bottom"/>
            <w:hideMark/>
          </w:tcPr>
          <w:p w14:paraId="0D13A71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112,00</w:t>
            </w:r>
          </w:p>
        </w:tc>
        <w:tc>
          <w:tcPr>
            <w:tcW w:w="931" w:type="dxa"/>
            <w:tcBorders>
              <w:top w:val="nil"/>
              <w:left w:val="nil"/>
              <w:bottom w:val="single" w:sz="4" w:space="0" w:color="auto"/>
              <w:right w:val="single" w:sz="4" w:space="0" w:color="auto"/>
            </w:tcBorders>
            <w:shd w:val="clear" w:color="000000" w:fill="FFFFFF"/>
            <w:noWrap/>
            <w:vAlign w:val="bottom"/>
            <w:hideMark/>
          </w:tcPr>
          <w:p w14:paraId="45FEB8F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129,00</w:t>
            </w:r>
          </w:p>
        </w:tc>
        <w:tc>
          <w:tcPr>
            <w:tcW w:w="1219" w:type="dxa"/>
            <w:tcBorders>
              <w:top w:val="nil"/>
              <w:left w:val="nil"/>
              <w:bottom w:val="single" w:sz="4" w:space="0" w:color="auto"/>
              <w:right w:val="single" w:sz="4" w:space="0" w:color="auto"/>
            </w:tcBorders>
            <w:shd w:val="clear" w:color="000000" w:fill="FFFFFF"/>
            <w:noWrap/>
            <w:vAlign w:val="bottom"/>
            <w:hideMark/>
          </w:tcPr>
          <w:p w14:paraId="580A7C6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180,00</w:t>
            </w:r>
          </w:p>
        </w:tc>
        <w:tc>
          <w:tcPr>
            <w:tcW w:w="1075" w:type="dxa"/>
            <w:tcBorders>
              <w:top w:val="nil"/>
              <w:left w:val="nil"/>
              <w:bottom w:val="single" w:sz="4" w:space="0" w:color="auto"/>
              <w:right w:val="single" w:sz="4" w:space="0" w:color="auto"/>
            </w:tcBorders>
            <w:shd w:val="clear" w:color="000000" w:fill="FFFFFF"/>
            <w:noWrap/>
            <w:vAlign w:val="bottom"/>
            <w:hideMark/>
          </w:tcPr>
          <w:p w14:paraId="2553366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126,00</w:t>
            </w:r>
          </w:p>
        </w:tc>
      </w:tr>
      <w:tr w:rsidR="002D4864" w:rsidRPr="00620F58" w14:paraId="435B3431"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71FCCBE"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141</w:t>
            </w:r>
          </w:p>
        </w:tc>
        <w:tc>
          <w:tcPr>
            <w:tcW w:w="1845" w:type="dxa"/>
            <w:tcBorders>
              <w:top w:val="nil"/>
              <w:left w:val="nil"/>
              <w:bottom w:val="single" w:sz="4" w:space="0" w:color="auto"/>
              <w:right w:val="single" w:sz="4" w:space="0" w:color="auto"/>
            </w:tcBorders>
            <w:shd w:val="clear" w:color="000000" w:fill="FFFFFF"/>
            <w:noWrap/>
            <w:vAlign w:val="bottom"/>
            <w:hideMark/>
          </w:tcPr>
          <w:p w14:paraId="39FE625A"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6F0FDB8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Vintri</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4E66ADA7"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869,80</w:t>
            </w:r>
          </w:p>
        </w:tc>
        <w:tc>
          <w:tcPr>
            <w:tcW w:w="1120" w:type="dxa"/>
            <w:tcBorders>
              <w:top w:val="nil"/>
              <w:left w:val="nil"/>
              <w:bottom w:val="single" w:sz="4" w:space="0" w:color="auto"/>
              <w:right w:val="single" w:sz="4" w:space="0" w:color="auto"/>
            </w:tcBorders>
            <w:shd w:val="clear" w:color="000000" w:fill="FFFFFF"/>
            <w:noWrap/>
            <w:vAlign w:val="bottom"/>
            <w:hideMark/>
          </w:tcPr>
          <w:p w14:paraId="5420BC3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267,50</w:t>
            </w:r>
          </w:p>
        </w:tc>
        <w:tc>
          <w:tcPr>
            <w:tcW w:w="1140" w:type="dxa"/>
            <w:tcBorders>
              <w:top w:val="nil"/>
              <w:left w:val="nil"/>
              <w:bottom w:val="single" w:sz="4" w:space="0" w:color="auto"/>
              <w:right w:val="single" w:sz="4" w:space="0" w:color="auto"/>
            </w:tcBorders>
            <w:shd w:val="clear" w:color="000000" w:fill="FFFFFF"/>
            <w:noWrap/>
            <w:vAlign w:val="bottom"/>
            <w:hideMark/>
          </w:tcPr>
          <w:p w14:paraId="06E0FD3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552,60</w:t>
            </w:r>
          </w:p>
        </w:tc>
        <w:tc>
          <w:tcPr>
            <w:tcW w:w="1120" w:type="dxa"/>
            <w:tcBorders>
              <w:top w:val="nil"/>
              <w:left w:val="nil"/>
              <w:bottom w:val="single" w:sz="4" w:space="0" w:color="auto"/>
              <w:right w:val="single" w:sz="4" w:space="0" w:color="auto"/>
            </w:tcBorders>
            <w:shd w:val="clear" w:color="000000" w:fill="FFFFFF"/>
            <w:noWrap/>
            <w:vAlign w:val="bottom"/>
            <w:hideMark/>
          </w:tcPr>
          <w:p w14:paraId="0060120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524,80</w:t>
            </w:r>
          </w:p>
        </w:tc>
        <w:tc>
          <w:tcPr>
            <w:tcW w:w="931" w:type="dxa"/>
            <w:tcBorders>
              <w:top w:val="nil"/>
              <w:left w:val="nil"/>
              <w:bottom w:val="single" w:sz="4" w:space="0" w:color="auto"/>
              <w:right w:val="single" w:sz="4" w:space="0" w:color="auto"/>
            </w:tcBorders>
            <w:shd w:val="clear" w:color="000000" w:fill="FFFFFF"/>
            <w:noWrap/>
            <w:vAlign w:val="bottom"/>
            <w:hideMark/>
          </w:tcPr>
          <w:p w14:paraId="009FB271"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1099,00</w:t>
            </w:r>
          </w:p>
        </w:tc>
        <w:tc>
          <w:tcPr>
            <w:tcW w:w="1219" w:type="dxa"/>
            <w:tcBorders>
              <w:top w:val="nil"/>
              <w:left w:val="nil"/>
              <w:bottom w:val="single" w:sz="4" w:space="0" w:color="auto"/>
              <w:right w:val="single" w:sz="4" w:space="0" w:color="auto"/>
            </w:tcBorders>
            <w:shd w:val="clear" w:color="000000" w:fill="FFFFFF"/>
            <w:noWrap/>
            <w:vAlign w:val="bottom"/>
            <w:hideMark/>
          </w:tcPr>
          <w:p w14:paraId="098D591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2633,20</w:t>
            </w:r>
          </w:p>
        </w:tc>
        <w:tc>
          <w:tcPr>
            <w:tcW w:w="1075" w:type="dxa"/>
            <w:tcBorders>
              <w:top w:val="nil"/>
              <w:left w:val="nil"/>
              <w:bottom w:val="single" w:sz="4" w:space="0" w:color="auto"/>
              <w:right w:val="single" w:sz="4" w:space="0" w:color="auto"/>
            </w:tcBorders>
            <w:shd w:val="clear" w:color="000000" w:fill="FFFFFF"/>
            <w:noWrap/>
            <w:vAlign w:val="bottom"/>
            <w:hideMark/>
          </w:tcPr>
          <w:p w14:paraId="0EA0A15D"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812,80</w:t>
            </w:r>
          </w:p>
        </w:tc>
      </w:tr>
      <w:tr w:rsidR="002D4864" w:rsidRPr="00620F58" w14:paraId="6E9CE7E9" w14:textId="77777777" w:rsidTr="00B42464">
        <w:trPr>
          <w:trHeight w:val="300"/>
        </w:trPr>
        <w:tc>
          <w:tcPr>
            <w:tcW w:w="560" w:type="dxa"/>
            <w:tcBorders>
              <w:top w:val="nil"/>
              <w:left w:val="single" w:sz="4" w:space="0" w:color="auto"/>
              <w:bottom w:val="single" w:sz="4" w:space="0" w:color="auto"/>
              <w:right w:val="single" w:sz="4" w:space="0" w:color="auto"/>
            </w:tcBorders>
            <w:shd w:val="clear" w:color="F8CBAD" w:fill="FFFFFF"/>
            <w:noWrap/>
            <w:vAlign w:val="bottom"/>
            <w:hideMark/>
          </w:tcPr>
          <w:p w14:paraId="1CEE199D"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142</w:t>
            </w:r>
          </w:p>
        </w:tc>
        <w:tc>
          <w:tcPr>
            <w:tcW w:w="1845" w:type="dxa"/>
            <w:tcBorders>
              <w:top w:val="nil"/>
              <w:left w:val="nil"/>
              <w:bottom w:val="single" w:sz="4" w:space="0" w:color="auto"/>
              <w:right w:val="single" w:sz="4" w:space="0" w:color="auto"/>
            </w:tcBorders>
            <w:shd w:val="clear" w:color="F8CBAD" w:fill="FFFFFF"/>
            <w:noWrap/>
            <w:vAlign w:val="bottom"/>
            <w:hideMark/>
          </w:tcPr>
          <w:p w14:paraId="75595F65"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F8CBAD" w:fill="FFFFFF"/>
            <w:noWrap/>
            <w:vAlign w:val="bottom"/>
            <w:hideMark/>
          </w:tcPr>
          <w:p w14:paraId="00AD8AD9"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 xml:space="preserve">Värava </w:t>
            </w:r>
          </w:p>
        </w:tc>
        <w:tc>
          <w:tcPr>
            <w:tcW w:w="1075" w:type="dxa"/>
            <w:tcBorders>
              <w:top w:val="nil"/>
              <w:left w:val="nil"/>
              <w:bottom w:val="single" w:sz="4" w:space="0" w:color="auto"/>
              <w:right w:val="single" w:sz="4" w:space="0" w:color="auto"/>
            </w:tcBorders>
            <w:shd w:val="clear" w:color="F8CBAD" w:fill="FFFFFF"/>
            <w:noWrap/>
            <w:vAlign w:val="bottom"/>
            <w:hideMark/>
          </w:tcPr>
          <w:p w14:paraId="1CB462B4"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120" w:type="dxa"/>
            <w:tcBorders>
              <w:top w:val="nil"/>
              <w:left w:val="nil"/>
              <w:bottom w:val="single" w:sz="4" w:space="0" w:color="auto"/>
              <w:right w:val="single" w:sz="4" w:space="0" w:color="auto"/>
            </w:tcBorders>
            <w:shd w:val="clear" w:color="F8CBAD" w:fill="FFFFFF"/>
            <w:noWrap/>
            <w:vAlign w:val="bottom"/>
            <w:hideMark/>
          </w:tcPr>
          <w:p w14:paraId="4F3B4BE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19,50</w:t>
            </w:r>
          </w:p>
        </w:tc>
        <w:tc>
          <w:tcPr>
            <w:tcW w:w="1140" w:type="dxa"/>
            <w:tcBorders>
              <w:top w:val="nil"/>
              <w:left w:val="nil"/>
              <w:bottom w:val="single" w:sz="4" w:space="0" w:color="auto"/>
              <w:right w:val="single" w:sz="4" w:space="0" w:color="auto"/>
            </w:tcBorders>
            <w:shd w:val="clear" w:color="F8CBAD" w:fill="FFFFFF"/>
            <w:noWrap/>
            <w:vAlign w:val="bottom"/>
            <w:hideMark/>
          </w:tcPr>
          <w:p w14:paraId="30DB272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151,00</w:t>
            </w:r>
          </w:p>
        </w:tc>
        <w:tc>
          <w:tcPr>
            <w:tcW w:w="1120" w:type="dxa"/>
            <w:tcBorders>
              <w:top w:val="nil"/>
              <w:left w:val="nil"/>
              <w:bottom w:val="single" w:sz="4" w:space="0" w:color="auto"/>
              <w:right w:val="single" w:sz="4" w:space="0" w:color="auto"/>
            </w:tcBorders>
            <w:shd w:val="clear" w:color="F8CBAD" w:fill="FFFFFF"/>
            <w:noWrap/>
            <w:vAlign w:val="bottom"/>
            <w:hideMark/>
          </w:tcPr>
          <w:p w14:paraId="627A0A0A"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931" w:type="dxa"/>
            <w:tcBorders>
              <w:top w:val="nil"/>
              <w:left w:val="nil"/>
              <w:bottom w:val="single" w:sz="4" w:space="0" w:color="auto"/>
              <w:right w:val="single" w:sz="4" w:space="0" w:color="auto"/>
            </w:tcBorders>
            <w:shd w:val="clear" w:color="F8CBAD" w:fill="FFFFFF"/>
            <w:noWrap/>
            <w:vAlign w:val="bottom"/>
            <w:hideMark/>
          </w:tcPr>
          <w:p w14:paraId="7EDFF9AC"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219" w:type="dxa"/>
            <w:tcBorders>
              <w:top w:val="nil"/>
              <w:left w:val="nil"/>
              <w:bottom w:val="single" w:sz="4" w:space="0" w:color="auto"/>
              <w:right w:val="single" w:sz="4" w:space="0" w:color="auto"/>
            </w:tcBorders>
            <w:shd w:val="clear" w:color="F8CBAD" w:fill="FFFFFF"/>
            <w:noWrap/>
            <w:vAlign w:val="bottom"/>
            <w:hideMark/>
          </w:tcPr>
          <w:p w14:paraId="717A25BB"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c>
          <w:tcPr>
            <w:tcW w:w="1075" w:type="dxa"/>
            <w:tcBorders>
              <w:top w:val="nil"/>
              <w:left w:val="nil"/>
              <w:bottom w:val="single" w:sz="4" w:space="0" w:color="auto"/>
              <w:right w:val="single" w:sz="4" w:space="0" w:color="auto"/>
            </w:tcBorders>
            <w:shd w:val="clear" w:color="F8CBAD" w:fill="FFFFFF"/>
            <w:noWrap/>
            <w:vAlign w:val="bottom"/>
            <w:hideMark/>
          </w:tcPr>
          <w:p w14:paraId="760666A6"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0,00</w:t>
            </w:r>
          </w:p>
        </w:tc>
      </w:tr>
      <w:tr w:rsidR="002D4864" w:rsidRPr="00620F58" w14:paraId="5ADC63D9" w14:textId="77777777" w:rsidTr="00B42464">
        <w:trPr>
          <w:trHeight w:val="300"/>
        </w:trPr>
        <w:tc>
          <w:tcPr>
            <w:tcW w:w="560" w:type="dxa"/>
            <w:tcBorders>
              <w:top w:val="nil"/>
              <w:left w:val="single" w:sz="4" w:space="0" w:color="auto"/>
              <w:bottom w:val="single" w:sz="4" w:space="0" w:color="auto"/>
              <w:right w:val="single" w:sz="4" w:space="0" w:color="auto"/>
            </w:tcBorders>
            <w:shd w:val="clear" w:color="000000" w:fill="FFFFFF"/>
            <w:noWrap/>
            <w:vAlign w:val="bottom"/>
            <w:hideMark/>
          </w:tcPr>
          <w:p w14:paraId="1479CE5B"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143</w:t>
            </w:r>
          </w:p>
        </w:tc>
        <w:tc>
          <w:tcPr>
            <w:tcW w:w="1845" w:type="dxa"/>
            <w:tcBorders>
              <w:top w:val="nil"/>
              <w:left w:val="nil"/>
              <w:bottom w:val="single" w:sz="4" w:space="0" w:color="auto"/>
              <w:right w:val="single" w:sz="4" w:space="0" w:color="auto"/>
            </w:tcBorders>
            <w:shd w:val="clear" w:color="000000" w:fill="FFFFFF"/>
            <w:noWrap/>
            <w:vAlign w:val="bottom"/>
            <w:hideMark/>
          </w:tcPr>
          <w:p w14:paraId="1FEE4483"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Saaremaa vald</w:t>
            </w:r>
          </w:p>
        </w:tc>
        <w:tc>
          <w:tcPr>
            <w:tcW w:w="2410" w:type="dxa"/>
            <w:tcBorders>
              <w:top w:val="nil"/>
              <w:left w:val="nil"/>
              <w:bottom w:val="single" w:sz="4" w:space="0" w:color="auto"/>
              <w:right w:val="single" w:sz="4" w:space="0" w:color="auto"/>
            </w:tcBorders>
            <w:shd w:val="clear" w:color="000000" w:fill="FFFFFF"/>
            <w:noWrap/>
            <w:vAlign w:val="bottom"/>
            <w:hideMark/>
          </w:tcPr>
          <w:p w14:paraId="12C72C0F" w14:textId="77777777" w:rsidR="002D4864" w:rsidRPr="002D4864" w:rsidRDefault="002D4864" w:rsidP="002D4864">
            <w:pPr>
              <w:suppressAutoHyphens w:val="0"/>
              <w:spacing w:after="0"/>
              <w:jc w:val="left"/>
              <w:rPr>
                <w:rFonts w:ascii="Times New Roman" w:eastAsia="Times New Roman" w:hAnsi="Times New Roman" w:cs="Times New Roman"/>
                <w:color w:val="000000"/>
                <w:sz w:val="22"/>
                <w:szCs w:val="22"/>
              </w:rPr>
            </w:pPr>
            <w:proofErr w:type="spellStart"/>
            <w:r w:rsidRPr="002D4864">
              <w:rPr>
                <w:rFonts w:ascii="Times New Roman" w:eastAsia="Times New Roman" w:hAnsi="Times New Roman" w:cs="Times New Roman"/>
                <w:color w:val="000000"/>
                <w:sz w:val="22"/>
                <w:szCs w:val="22"/>
              </w:rPr>
              <w:t>Ülgapäe</w:t>
            </w:r>
            <w:proofErr w:type="spellEnd"/>
          </w:p>
        </w:tc>
        <w:tc>
          <w:tcPr>
            <w:tcW w:w="1075" w:type="dxa"/>
            <w:tcBorders>
              <w:top w:val="nil"/>
              <w:left w:val="nil"/>
              <w:bottom w:val="single" w:sz="4" w:space="0" w:color="auto"/>
              <w:right w:val="single" w:sz="4" w:space="0" w:color="auto"/>
            </w:tcBorders>
            <w:shd w:val="clear" w:color="000000" w:fill="FFFFFF"/>
            <w:noWrap/>
            <w:vAlign w:val="bottom"/>
            <w:hideMark/>
          </w:tcPr>
          <w:p w14:paraId="7DF2067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293,60</w:t>
            </w:r>
          </w:p>
        </w:tc>
        <w:tc>
          <w:tcPr>
            <w:tcW w:w="1120" w:type="dxa"/>
            <w:tcBorders>
              <w:top w:val="nil"/>
              <w:left w:val="nil"/>
              <w:bottom w:val="single" w:sz="4" w:space="0" w:color="auto"/>
              <w:right w:val="single" w:sz="4" w:space="0" w:color="auto"/>
            </w:tcBorders>
            <w:shd w:val="clear" w:color="000000" w:fill="FFFFFF"/>
            <w:noWrap/>
            <w:vAlign w:val="bottom"/>
            <w:hideMark/>
          </w:tcPr>
          <w:p w14:paraId="48EE6329"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246,90</w:t>
            </w:r>
          </w:p>
        </w:tc>
        <w:tc>
          <w:tcPr>
            <w:tcW w:w="1140" w:type="dxa"/>
            <w:tcBorders>
              <w:top w:val="nil"/>
              <w:left w:val="nil"/>
              <w:bottom w:val="single" w:sz="4" w:space="0" w:color="auto"/>
              <w:right w:val="single" w:sz="4" w:space="0" w:color="auto"/>
            </w:tcBorders>
            <w:shd w:val="clear" w:color="000000" w:fill="FFFFFF"/>
            <w:noWrap/>
            <w:vAlign w:val="bottom"/>
            <w:hideMark/>
          </w:tcPr>
          <w:p w14:paraId="7C5EFF9F"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231,60</w:t>
            </w:r>
          </w:p>
        </w:tc>
        <w:tc>
          <w:tcPr>
            <w:tcW w:w="1120" w:type="dxa"/>
            <w:tcBorders>
              <w:top w:val="nil"/>
              <w:left w:val="nil"/>
              <w:bottom w:val="single" w:sz="4" w:space="0" w:color="auto"/>
              <w:right w:val="single" w:sz="4" w:space="0" w:color="auto"/>
            </w:tcBorders>
            <w:shd w:val="clear" w:color="000000" w:fill="FFFFFF"/>
            <w:noWrap/>
            <w:vAlign w:val="bottom"/>
            <w:hideMark/>
          </w:tcPr>
          <w:p w14:paraId="63816DE5"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254,60</w:t>
            </w:r>
          </w:p>
        </w:tc>
        <w:tc>
          <w:tcPr>
            <w:tcW w:w="931" w:type="dxa"/>
            <w:tcBorders>
              <w:top w:val="nil"/>
              <w:left w:val="nil"/>
              <w:bottom w:val="single" w:sz="4" w:space="0" w:color="auto"/>
              <w:right w:val="single" w:sz="4" w:space="0" w:color="auto"/>
            </w:tcBorders>
            <w:shd w:val="clear" w:color="000000" w:fill="FFFFFF"/>
            <w:noWrap/>
            <w:vAlign w:val="bottom"/>
            <w:hideMark/>
          </w:tcPr>
          <w:p w14:paraId="7761E333"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110,00</w:t>
            </w:r>
          </w:p>
        </w:tc>
        <w:tc>
          <w:tcPr>
            <w:tcW w:w="1219" w:type="dxa"/>
            <w:tcBorders>
              <w:top w:val="nil"/>
              <w:left w:val="nil"/>
              <w:bottom w:val="single" w:sz="4" w:space="0" w:color="auto"/>
              <w:right w:val="single" w:sz="4" w:space="0" w:color="auto"/>
            </w:tcBorders>
            <w:shd w:val="clear" w:color="000000" w:fill="FFFFFF"/>
            <w:noWrap/>
            <w:vAlign w:val="bottom"/>
            <w:hideMark/>
          </w:tcPr>
          <w:p w14:paraId="015602C8"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117,00</w:t>
            </w:r>
          </w:p>
        </w:tc>
        <w:tc>
          <w:tcPr>
            <w:tcW w:w="1075" w:type="dxa"/>
            <w:tcBorders>
              <w:top w:val="nil"/>
              <w:left w:val="nil"/>
              <w:bottom w:val="single" w:sz="4" w:space="0" w:color="auto"/>
              <w:right w:val="single" w:sz="4" w:space="0" w:color="auto"/>
            </w:tcBorders>
            <w:shd w:val="clear" w:color="000000" w:fill="FFFFFF"/>
            <w:noWrap/>
            <w:vAlign w:val="bottom"/>
            <w:hideMark/>
          </w:tcPr>
          <w:p w14:paraId="5BB571D2" w14:textId="77777777" w:rsidR="002D4864" w:rsidRPr="002D4864" w:rsidRDefault="002D4864" w:rsidP="002D4864">
            <w:pPr>
              <w:suppressAutoHyphens w:val="0"/>
              <w:spacing w:after="0"/>
              <w:jc w:val="right"/>
              <w:rPr>
                <w:rFonts w:ascii="Times New Roman" w:eastAsia="Times New Roman" w:hAnsi="Times New Roman" w:cs="Times New Roman"/>
                <w:color w:val="000000"/>
                <w:sz w:val="22"/>
                <w:szCs w:val="22"/>
              </w:rPr>
            </w:pPr>
            <w:r w:rsidRPr="002D4864">
              <w:rPr>
                <w:rFonts w:ascii="Times New Roman" w:eastAsia="Times New Roman" w:hAnsi="Times New Roman" w:cs="Times New Roman"/>
                <w:color w:val="000000"/>
                <w:sz w:val="22"/>
                <w:szCs w:val="22"/>
              </w:rPr>
              <w:t>180,00</w:t>
            </w:r>
          </w:p>
        </w:tc>
      </w:tr>
    </w:tbl>
    <w:p w14:paraId="05F8118F" w14:textId="77777777" w:rsidR="002D4864" w:rsidRDefault="002D4864">
      <w:pPr>
        <w:pStyle w:val="Pealkiri1"/>
        <w:ind w:left="0" w:firstLine="0"/>
        <w:sectPr w:rsidR="002D4864" w:rsidSect="005C60BB">
          <w:pgSz w:w="16838" w:h="11906" w:orient="landscape"/>
          <w:pgMar w:top="1417" w:right="1417" w:bottom="1417" w:left="1417" w:header="708" w:footer="708" w:gutter="0"/>
          <w:cols w:space="708"/>
          <w:formProt w:val="0"/>
          <w:titlePg/>
          <w:docGrid w:linePitch="360"/>
        </w:sectPr>
      </w:pPr>
    </w:p>
    <w:p w14:paraId="5221922F" w14:textId="09D8ABE7" w:rsidR="00B42464" w:rsidRDefault="007C6F09" w:rsidP="007C6F09">
      <w:pPr>
        <w:pStyle w:val="Pealkiri1"/>
        <w:ind w:left="0" w:firstLine="0"/>
        <w:jc w:val="left"/>
        <w:rPr>
          <w:rFonts w:ascii="Times New Roman" w:hAnsi="Times New Roman" w:cs="Times New Roman"/>
        </w:rPr>
      </w:pPr>
      <w:bookmarkStart w:id="120" w:name="_Toc157420991"/>
      <w:r>
        <w:rPr>
          <w:rFonts w:ascii="Times New Roman" w:hAnsi="Times New Roman" w:cs="Times New Roman"/>
        </w:rPr>
        <w:lastRenderedPageBreak/>
        <w:t xml:space="preserve">LISA </w:t>
      </w:r>
      <w:r w:rsidR="00B42464" w:rsidRPr="00B42464">
        <w:rPr>
          <w:rFonts w:ascii="Times New Roman" w:hAnsi="Times New Roman" w:cs="Times New Roman"/>
        </w:rPr>
        <w:t xml:space="preserve">6. Saaremaa kalanduspiirkonna lossimised </w:t>
      </w:r>
      <w:r w:rsidR="00AE148E">
        <w:rPr>
          <w:rFonts w:ascii="Times New Roman" w:hAnsi="Times New Roman" w:cs="Times New Roman"/>
        </w:rPr>
        <w:t xml:space="preserve">piirkonniti </w:t>
      </w:r>
      <w:r w:rsidR="00B42464" w:rsidRPr="00B42464">
        <w:rPr>
          <w:rFonts w:ascii="Times New Roman" w:hAnsi="Times New Roman" w:cs="Times New Roman"/>
        </w:rPr>
        <w:t>graafikutena 2016-2022</w:t>
      </w:r>
      <w:bookmarkEnd w:id="120"/>
    </w:p>
    <w:p w14:paraId="74BD2A64" w14:textId="1701ADD0" w:rsidR="00B42464" w:rsidRDefault="00B42464" w:rsidP="00C67FE5">
      <w:pPr>
        <w:rPr>
          <w:rFonts w:ascii="Times New Roman" w:hAnsi="Times New Roman" w:cs="Times New Roman"/>
        </w:rPr>
      </w:pPr>
      <w:r>
        <w:rPr>
          <w:noProof/>
        </w:rPr>
        <w:drawing>
          <wp:inline distT="0" distB="0" distL="0" distR="0" wp14:anchorId="0E6174A6" wp14:editId="7EA59CC1">
            <wp:extent cx="5941695" cy="4419600"/>
            <wp:effectExtent l="0" t="0" r="1905" b="0"/>
            <wp:docPr id="886003831" name="Diagramm 1">
              <a:extLst xmlns:a="http://schemas.openxmlformats.org/drawingml/2006/main">
                <a:ext uri="{FF2B5EF4-FFF2-40B4-BE49-F238E27FC236}">
                  <a16:creationId xmlns:a16="http://schemas.microsoft.com/office/drawing/2014/main" id="{C466A22B-4337-D093-DA22-D3703C204C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6AAD5D0" w14:textId="2091BDEA" w:rsidR="00B42464" w:rsidRPr="00B42464" w:rsidRDefault="004221F0" w:rsidP="00C67FE5">
      <w:pPr>
        <w:rPr>
          <w:rFonts w:ascii="Times New Roman" w:hAnsi="Times New Roman" w:cs="Times New Roman"/>
        </w:rPr>
      </w:pPr>
      <w:r>
        <w:rPr>
          <w:noProof/>
        </w:rPr>
        <w:drawing>
          <wp:inline distT="0" distB="0" distL="0" distR="0" wp14:anchorId="122F713C" wp14:editId="1B4E3352">
            <wp:extent cx="5941695" cy="3356610"/>
            <wp:effectExtent l="0" t="0" r="1905" b="15240"/>
            <wp:docPr id="409345372" name="Diagramm 1">
              <a:extLst xmlns:a="http://schemas.openxmlformats.org/drawingml/2006/main">
                <a:ext uri="{FF2B5EF4-FFF2-40B4-BE49-F238E27FC236}">
                  <a16:creationId xmlns:a16="http://schemas.microsoft.com/office/drawing/2014/main" id="{5322E64D-6E06-9599-D934-BC444875E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00B42464" w:rsidRPr="00B42464">
        <w:rPr>
          <w:rFonts w:ascii="Times New Roman" w:hAnsi="Times New Roman" w:cs="Times New Roman"/>
        </w:rPr>
        <w:br w:type="page"/>
      </w:r>
    </w:p>
    <w:p w14:paraId="6448C71F" w14:textId="7564F9B4" w:rsidR="004221F0" w:rsidRDefault="004221F0" w:rsidP="00C67FE5">
      <w:pPr>
        <w:rPr>
          <w:rFonts w:ascii="Times New Roman" w:hAnsi="Times New Roman" w:cs="Times New Roman"/>
        </w:rPr>
      </w:pPr>
      <w:r>
        <w:rPr>
          <w:noProof/>
        </w:rPr>
        <w:lastRenderedPageBreak/>
        <w:drawing>
          <wp:inline distT="0" distB="0" distL="0" distR="0" wp14:anchorId="762D5E80" wp14:editId="2FC58127">
            <wp:extent cx="6189345" cy="4562475"/>
            <wp:effectExtent l="0" t="0" r="1905" b="9525"/>
            <wp:docPr id="1861508172" name="Diagramm 1">
              <a:extLst xmlns:a="http://schemas.openxmlformats.org/drawingml/2006/main">
                <a:ext uri="{FF2B5EF4-FFF2-40B4-BE49-F238E27FC236}">
                  <a16:creationId xmlns:a16="http://schemas.microsoft.com/office/drawing/2014/main" id="{DAF7A24F-FB66-FE95-14D9-23874F990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B117C54" w14:textId="77777777" w:rsidR="004221F0" w:rsidRDefault="004221F0" w:rsidP="00C67FE5">
      <w:pPr>
        <w:rPr>
          <w:rFonts w:ascii="Times New Roman" w:hAnsi="Times New Roman" w:cs="Times New Roman"/>
        </w:rPr>
      </w:pPr>
      <w:r>
        <w:rPr>
          <w:noProof/>
        </w:rPr>
        <w:drawing>
          <wp:inline distT="0" distB="0" distL="0" distR="0" wp14:anchorId="70CEEE22" wp14:editId="115303E5">
            <wp:extent cx="6189345" cy="3709670"/>
            <wp:effectExtent l="0" t="0" r="1905" b="5080"/>
            <wp:docPr id="382826049" name="Diagramm 1">
              <a:extLst xmlns:a="http://schemas.openxmlformats.org/drawingml/2006/main">
                <a:ext uri="{FF2B5EF4-FFF2-40B4-BE49-F238E27FC236}">
                  <a16:creationId xmlns:a16="http://schemas.microsoft.com/office/drawing/2014/main" id="{722E456E-F246-118F-E3E9-3CECD2684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7BCFB0B" w14:textId="77777777" w:rsidR="004221F0" w:rsidRDefault="004221F0" w:rsidP="00C67FE5">
      <w:pPr>
        <w:rPr>
          <w:rFonts w:ascii="Times New Roman" w:hAnsi="Times New Roman" w:cs="Times New Roman"/>
        </w:rPr>
      </w:pPr>
    </w:p>
    <w:p w14:paraId="3BA6C237" w14:textId="7924565C" w:rsidR="004221F0" w:rsidRDefault="00C67FE5" w:rsidP="00C67FE5">
      <w:pPr>
        <w:rPr>
          <w:rFonts w:ascii="Times New Roman" w:hAnsi="Times New Roman" w:cs="Times New Roman"/>
        </w:rPr>
      </w:pPr>
      <w:r>
        <w:rPr>
          <w:noProof/>
        </w:rPr>
        <w:lastRenderedPageBreak/>
        <w:drawing>
          <wp:inline distT="0" distB="0" distL="0" distR="0" wp14:anchorId="5B1453D3" wp14:editId="016ACC18">
            <wp:extent cx="5972175" cy="4813935"/>
            <wp:effectExtent l="0" t="0" r="9525" b="5715"/>
            <wp:docPr id="556336621" name="Diagramm 1">
              <a:extLst xmlns:a="http://schemas.openxmlformats.org/drawingml/2006/main">
                <a:ext uri="{FF2B5EF4-FFF2-40B4-BE49-F238E27FC236}">
                  <a16:creationId xmlns:a16="http://schemas.microsoft.com/office/drawing/2014/main" id="{B514FA57-6320-C657-226B-B488177C4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004221F0">
        <w:rPr>
          <w:noProof/>
        </w:rPr>
        <w:drawing>
          <wp:inline distT="0" distB="0" distL="0" distR="0" wp14:anchorId="550F10EF" wp14:editId="5B555366">
            <wp:extent cx="5972175" cy="3857625"/>
            <wp:effectExtent l="0" t="0" r="9525" b="9525"/>
            <wp:docPr id="526704988" name="Diagramm 1">
              <a:extLst xmlns:a="http://schemas.openxmlformats.org/drawingml/2006/main">
                <a:ext uri="{FF2B5EF4-FFF2-40B4-BE49-F238E27FC236}">
                  <a16:creationId xmlns:a16="http://schemas.microsoft.com/office/drawing/2014/main" id="{213E0774-D385-55F9-8518-23DE5E378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2A1D0B8" w14:textId="77777777" w:rsidR="004221F0" w:rsidRDefault="004221F0" w:rsidP="00C67FE5">
      <w:pPr>
        <w:rPr>
          <w:rFonts w:ascii="Times New Roman" w:hAnsi="Times New Roman" w:cs="Times New Roman"/>
        </w:rPr>
      </w:pPr>
      <w:r>
        <w:rPr>
          <w:noProof/>
        </w:rPr>
        <w:lastRenderedPageBreak/>
        <w:drawing>
          <wp:inline distT="0" distB="0" distL="0" distR="0" wp14:anchorId="65D9BD09" wp14:editId="24790BC8">
            <wp:extent cx="5760720" cy="3498215"/>
            <wp:effectExtent l="0" t="0" r="11430" b="6985"/>
            <wp:docPr id="105022345" name="Diagramm 1">
              <a:extLst xmlns:a="http://schemas.openxmlformats.org/drawingml/2006/main">
                <a:ext uri="{FF2B5EF4-FFF2-40B4-BE49-F238E27FC236}">
                  <a16:creationId xmlns:a16="http://schemas.microsoft.com/office/drawing/2014/main" id="{1C3DD990-F0C8-EBA8-4BDF-C64365153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D2CF654" w14:textId="77777777" w:rsidR="004221F0" w:rsidRDefault="004221F0" w:rsidP="00C67FE5">
      <w:pPr>
        <w:rPr>
          <w:rFonts w:ascii="Times New Roman" w:hAnsi="Times New Roman" w:cs="Times New Roman"/>
        </w:rPr>
      </w:pPr>
      <w:r>
        <w:rPr>
          <w:noProof/>
        </w:rPr>
        <w:drawing>
          <wp:inline distT="0" distB="0" distL="0" distR="0" wp14:anchorId="2A883C9B" wp14:editId="43DD5535">
            <wp:extent cx="5760720" cy="3764280"/>
            <wp:effectExtent l="0" t="0" r="11430" b="7620"/>
            <wp:docPr id="1064641975" name="Diagramm 1">
              <a:extLst xmlns:a="http://schemas.openxmlformats.org/drawingml/2006/main">
                <a:ext uri="{FF2B5EF4-FFF2-40B4-BE49-F238E27FC236}">
                  <a16:creationId xmlns:a16="http://schemas.microsoft.com/office/drawing/2014/main" id="{D2E2440D-800A-C07E-25D8-C232B38D07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7FBB62C6" w14:textId="77777777" w:rsidR="004221F0" w:rsidRDefault="004221F0" w:rsidP="00C67FE5">
      <w:pPr>
        <w:rPr>
          <w:rFonts w:ascii="Times New Roman" w:hAnsi="Times New Roman" w:cs="Times New Roman"/>
        </w:rPr>
      </w:pPr>
      <w:r>
        <w:rPr>
          <w:noProof/>
        </w:rPr>
        <w:lastRenderedPageBreak/>
        <w:drawing>
          <wp:inline distT="0" distB="0" distL="0" distR="0" wp14:anchorId="7D56087C" wp14:editId="04932711">
            <wp:extent cx="5760720" cy="3648710"/>
            <wp:effectExtent l="0" t="0" r="11430" b="8890"/>
            <wp:docPr id="1453036869" name="Diagramm 1">
              <a:extLst xmlns:a="http://schemas.openxmlformats.org/drawingml/2006/main">
                <a:ext uri="{FF2B5EF4-FFF2-40B4-BE49-F238E27FC236}">
                  <a16:creationId xmlns:a16="http://schemas.microsoft.com/office/drawing/2014/main" id="{EB9E2DD9-F541-D04A-2D8B-040B02EDF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C68888E" w14:textId="77777777" w:rsidR="004221F0" w:rsidRDefault="004221F0" w:rsidP="00C67FE5">
      <w:pPr>
        <w:rPr>
          <w:rFonts w:ascii="Times New Roman" w:hAnsi="Times New Roman" w:cs="Times New Roman"/>
        </w:rPr>
      </w:pPr>
      <w:r>
        <w:rPr>
          <w:noProof/>
        </w:rPr>
        <w:drawing>
          <wp:inline distT="0" distB="0" distL="0" distR="0" wp14:anchorId="1A4BFAF3" wp14:editId="034F66AE">
            <wp:extent cx="6160770" cy="4768215"/>
            <wp:effectExtent l="0" t="0" r="11430" b="13335"/>
            <wp:docPr id="141413284" name="Diagramm 1">
              <a:extLst xmlns:a="http://schemas.openxmlformats.org/drawingml/2006/main">
                <a:ext uri="{FF2B5EF4-FFF2-40B4-BE49-F238E27FC236}">
                  <a16:creationId xmlns:a16="http://schemas.microsoft.com/office/drawing/2014/main" id="{1147C511-EDD6-1271-E38D-275ABE648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BC09302" w14:textId="77777777" w:rsidR="004221F0" w:rsidRDefault="004221F0" w:rsidP="00C67FE5">
      <w:pPr>
        <w:rPr>
          <w:rFonts w:ascii="Times New Roman" w:hAnsi="Times New Roman" w:cs="Times New Roman"/>
        </w:rPr>
      </w:pPr>
      <w:r>
        <w:rPr>
          <w:noProof/>
        </w:rPr>
        <w:lastRenderedPageBreak/>
        <w:drawing>
          <wp:inline distT="0" distB="0" distL="0" distR="0" wp14:anchorId="5D47E48E" wp14:editId="5D978367">
            <wp:extent cx="5760720" cy="3972560"/>
            <wp:effectExtent l="0" t="0" r="11430" b="8890"/>
            <wp:docPr id="725550706" name="Diagramm 1">
              <a:extLst xmlns:a="http://schemas.openxmlformats.org/drawingml/2006/main">
                <a:ext uri="{FF2B5EF4-FFF2-40B4-BE49-F238E27FC236}">
                  <a16:creationId xmlns:a16="http://schemas.microsoft.com/office/drawing/2014/main" id="{E479E0B4-77F7-7E19-43EB-DD890ABE9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07E2186A" w14:textId="117C7240" w:rsidR="004221F0" w:rsidRDefault="00AE148E" w:rsidP="00C67FE5">
      <w:pPr>
        <w:rPr>
          <w:rFonts w:ascii="Times New Roman" w:hAnsi="Times New Roman" w:cs="Times New Roman"/>
          <w:color w:val="1186C2"/>
          <w:sz w:val="32"/>
          <w:szCs w:val="32"/>
        </w:rPr>
      </w:pPr>
      <w:r>
        <w:rPr>
          <w:noProof/>
        </w:rPr>
        <w:drawing>
          <wp:inline distT="0" distB="0" distL="0" distR="0" wp14:anchorId="6E37CC67" wp14:editId="48BEDFAB">
            <wp:extent cx="5760720" cy="3071495"/>
            <wp:effectExtent l="0" t="0" r="11430" b="14605"/>
            <wp:docPr id="850185224" name="Diagramm 1">
              <a:extLst xmlns:a="http://schemas.openxmlformats.org/drawingml/2006/main">
                <a:ext uri="{FF2B5EF4-FFF2-40B4-BE49-F238E27FC236}">
                  <a16:creationId xmlns:a16="http://schemas.microsoft.com/office/drawing/2014/main" id="{9A2EF7ED-8A6E-9EA3-790A-109DBE9441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004221F0">
        <w:rPr>
          <w:rFonts w:ascii="Times New Roman" w:hAnsi="Times New Roman" w:cs="Times New Roman"/>
        </w:rPr>
        <w:br w:type="page"/>
      </w:r>
    </w:p>
    <w:p w14:paraId="13F98838" w14:textId="391C25C7" w:rsidR="008312AA" w:rsidRDefault="00000000" w:rsidP="00054A83">
      <w:pPr>
        <w:pStyle w:val="Pealkiri1"/>
        <w:ind w:left="0" w:firstLine="0"/>
        <w:jc w:val="left"/>
        <w:rPr>
          <w:rFonts w:ascii="Times New Roman" w:hAnsi="Times New Roman" w:cs="Times New Roman"/>
        </w:rPr>
      </w:pPr>
      <w:bookmarkStart w:id="121" w:name="_Toc157420992"/>
      <w:r>
        <w:rPr>
          <w:rFonts w:ascii="Times New Roman" w:hAnsi="Times New Roman" w:cs="Times New Roman"/>
        </w:rPr>
        <w:lastRenderedPageBreak/>
        <w:t xml:space="preserve">LISA </w:t>
      </w:r>
      <w:r w:rsidR="00B42464">
        <w:rPr>
          <w:rFonts w:ascii="Times New Roman" w:hAnsi="Times New Roman" w:cs="Times New Roman"/>
        </w:rPr>
        <w:t>7</w:t>
      </w:r>
      <w:r>
        <w:rPr>
          <w:rFonts w:ascii="Times New Roman" w:hAnsi="Times New Roman" w:cs="Times New Roman"/>
        </w:rPr>
        <w:t xml:space="preserve">. </w:t>
      </w:r>
      <w:bookmarkStart w:id="122" w:name="_Hlk155964157"/>
      <w:r>
        <w:rPr>
          <w:rFonts w:ascii="Times New Roman" w:hAnsi="Times New Roman" w:cs="Times New Roman"/>
        </w:rPr>
        <w:t>Hinnang EMKF perioodi 2016 - 2020 + tegevussuundade eesmärkide saavutamisele</w:t>
      </w:r>
      <w:bookmarkEnd w:id="121"/>
      <w:bookmarkEnd w:id="122"/>
    </w:p>
    <w:p w14:paraId="66EB7BD9" w14:textId="77777777" w:rsidR="008312AA" w:rsidRDefault="008312AA">
      <w:pPr>
        <w:spacing w:line="276" w:lineRule="auto"/>
        <w:jc w:val="left"/>
        <w:rPr>
          <w:rFonts w:ascii="Times New Roman" w:eastAsia="Times New Roman" w:hAnsi="Times New Roman" w:cs="Times New Roman"/>
        </w:rPr>
      </w:pPr>
    </w:p>
    <w:p w14:paraId="72FB13D0" w14:textId="77777777" w:rsidR="008312AA" w:rsidRDefault="00000000">
      <w:pPr>
        <w:shd w:val="clear" w:color="auto" w:fill="A3DBFF"/>
        <w:spacing w:line="276" w:lineRule="auto"/>
        <w:jc w:val="left"/>
        <w:rPr>
          <w:rFonts w:ascii="Times New Roman" w:hAnsi="Times New Roman" w:cs="Times New Roman"/>
          <w:b/>
          <w:bCs/>
        </w:rPr>
      </w:pPr>
      <w:bookmarkStart w:id="123" w:name="_Toc154649018"/>
      <w:r>
        <w:rPr>
          <w:rFonts w:ascii="Times New Roman" w:hAnsi="Times New Roman" w:cs="Times New Roman"/>
          <w:b/>
          <w:bCs/>
        </w:rPr>
        <w:t xml:space="preserve">Kala- või vesiviljelustoodete </w:t>
      </w:r>
      <w:proofErr w:type="spellStart"/>
      <w:r>
        <w:rPr>
          <w:rFonts w:ascii="Times New Roman" w:hAnsi="Times New Roman" w:cs="Times New Roman"/>
          <w:b/>
          <w:bCs/>
        </w:rPr>
        <w:t>väärindamine</w:t>
      </w:r>
      <w:proofErr w:type="spellEnd"/>
      <w:r>
        <w:rPr>
          <w:rFonts w:ascii="Times New Roman" w:hAnsi="Times New Roman" w:cs="Times New Roman"/>
          <w:b/>
          <w:bCs/>
        </w:rPr>
        <w:t xml:space="preserve"> või turustamine</w:t>
      </w:r>
      <w:bookmarkEnd w:id="123"/>
    </w:p>
    <w:p w14:paraId="2534068E" w14:textId="77777777" w:rsidR="008312AA" w:rsidRDefault="00000000">
      <w:pPr>
        <w:spacing w:line="276" w:lineRule="auto"/>
        <w:jc w:val="left"/>
        <w:rPr>
          <w:rFonts w:ascii="Times New Roman" w:eastAsia="Times New Roman" w:hAnsi="Times New Roman" w:cs="Times New Roman"/>
          <w:b/>
        </w:rPr>
      </w:pPr>
      <w:r>
        <w:rPr>
          <w:rFonts w:ascii="Times New Roman" w:eastAsia="Times New Roman" w:hAnsi="Times New Roman" w:cs="Times New Roman"/>
          <w:b/>
        </w:rPr>
        <w:t>Eesmärgid:</w:t>
      </w:r>
    </w:p>
    <w:p w14:paraId="57EC2FF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E1: Turule on lisandunud uued kohalikust kalast valmistatud tooted</w:t>
      </w:r>
    </w:p>
    <w:p w14:paraId="1AF8909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E2: Saaremaa kalanduspiirkonnas on 18 kala </w:t>
      </w:r>
      <w:proofErr w:type="spellStart"/>
      <w:r>
        <w:rPr>
          <w:rFonts w:ascii="Times New Roman" w:eastAsia="Times New Roman" w:hAnsi="Times New Roman" w:cs="Times New Roman"/>
        </w:rPr>
        <w:t>väärindavat</w:t>
      </w:r>
      <w:proofErr w:type="spellEnd"/>
      <w:r>
        <w:rPr>
          <w:rFonts w:ascii="Times New Roman" w:eastAsia="Times New Roman" w:hAnsi="Times New Roman" w:cs="Times New Roman"/>
        </w:rPr>
        <w:t xml:space="preserve"> ja/või teavitatud ettevõtet</w:t>
      </w:r>
    </w:p>
    <w:p w14:paraId="4CCFA860" w14:textId="77777777" w:rsidR="008312AA" w:rsidRDefault="008312AA">
      <w:pPr>
        <w:spacing w:line="276" w:lineRule="auto"/>
        <w:jc w:val="left"/>
        <w:rPr>
          <w:rFonts w:ascii="Times New Roman" w:eastAsia="Times New Roman" w:hAnsi="Times New Roman" w:cs="Times New Roman"/>
        </w:rPr>
      </w:pPr>
    </w:p>
    <w:tbl>
      <w:tblPr>
        <w:tblStyle w:val="Kontuurtabel1"/>
        <w:tblW w:w="9214" w:type="dxa"/>
        <w:tblInd w:w="-147" w:type="dxa"/>
        <w:tblLayout w:type="fixed"/>
        <w:tblLook w:val="04A0" w:firstRow="1" w:lastRow="0" w:firstColumn="1" w:lastColumn="0" w:noHBand="0" w:noVBand="1"/>
      </w:tblPr>
      <w:tblGrid>
        <w:gridCol w:w="993"/>
        <w:gridCol w:w="2692"/>
        <w:gridCol w:w="5529"/>
      </w:tblGrid>
      <w:tr w:rsidR="008312AA" w14:paraId="7405192A" w14:textId="77777777">
        <w:tc>
          <w:tcPr>
            <w:tcW w:w="993" w:type="dxa"/>
            <w:shd w:val="clear" w:color="auto" w:fill="D9E2F3" w:themeFill="accent1" w:themeFillTint="33"/>
          </w:tcPr>
          <w:p w14:paraId="557B5B91"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Jrk nr</w:t>
            </w:r>
          </w:p>
        </w:tc>
        <w:tc>
          <w:tcPr>
            <w:tcW w:w="2692" w:type="dxa"/>
            <w:shd w:val="clear" w:color="auto" w:fill="D9E2F3" w:themeFill="accent1" w:themeFillTint="33"/>
          </w:tcPr>
          <w:p w14:paraId="7874AAB4"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Sihttase</w:t>
            </w:r>
          </w:p>
        </w:tc>
        <w:tc>
          <w:tcPr>
            <w:tcW w:w="5529" w:type="dxa"/>
            <w:shd w:val="clear" w:color="auto" w:fill="D9E2F3" w:themeFill="accent1" w:themeFillTint="33"/>
          </w:tcPr>
          <w:p w14:paraId="2EC5C436" w14:textId="77777777" w:rsidR="008312AA" w:rsidRDefault="00000000">
            <w:pPr>
              <w:spacing w:line="276" w:lineRule="auto"/>
              <w:jc w:val="left"/>
              <w:rPr>
                <w:rFonts w:ascii="Times New Roman" w:hAnsi="Times New Roman" w:cs="Times New Roman"/>
                <w:b/>
                <w:bCs/>
              </w:rPr>
            </w:pPr>
            <w:r>
              <w:rPr>
                <w:rFonts w:ascii="Times New Roman" w:hAnsi="Times New Roman" w:cs="Times New Roman"/>
                <w:b/>
                <w:bCs/>
              </w:rPr>
              <w:t>Tegelikult saavutatu</w:t>
            </w:r>
          </w:p>
        </w:tc>
      </w:tr>
    </w:tbl>
    <w:tbl>
      <w:tblPr>
        <w:tblW w:w="9214" w:type="dxa"/>
        <w:tblInd w:w="-147" w:type="dxa"/>
        <w:tblLayout w:type="fixed"/>
        <w:tblLook w:val="0400" w:firstRow="0" w:lastRow="0" w:firstColumn="0" w:lastColumn="0" w:noHBand="0" w:noVBand="1"/>
      </w:tblPr>
      <w:tblGrid>
        <w:gridCol w:w="993"/>
        <w:gridCol w:w="2692"/>
        <w:gridCol w:w="5529"/>
      </w:tblGrid>
      <w:tr w:rsidR="008312AA" w14:paraId="60AFCA5E" w14:textId="77777777">
        <w:tc>
          <w:tcPr>
            <w:tcW w:w="993" w:type="dxa"/>
            <w:tcBorders>
              <w:top w:val="single" w:sz="4" w:space="0" w:color="000000"/>
              <w:left w:val="single" w:sz="4" w:space="0" w:color="000000"/>
              <w:bottom w:val="single" w:sz="4" w:space="0" w:color="000000"/>
              <w:right w:val="single" w:sz="4" w:space="0" w:color="000000"/>
            </w:tcBorders>
          </w:tcPr>
          <w:p w14:paraId="02A36064"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692" w:type="dxa"/>
            <w:tcBorders>
              <w:top w:val="single" w:sz="4" w:space="0" w:color="000000"/>
              <w:left w:val="single" w:sz="4" w:space="0" w:color="000000"/>
              <w:bottom w:val="single" w:sz="4" w:space="0" w:color="000000"/>
              <w:right w:val="single" w:sz="4" w:space="0" w:color="000000"/>
            </w:tcBorders>
          </w:tcPr>
          <w:p w14:paraId="50B580D1"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Saaremaa kalanduspiirkonnas on 15 erinevat kalatoodet</w:t>
            </w:r>
          </w:p>
        </w:tc>
        <w:tc>
          <w:tcPr>
            <w:tcW w:w="5529" w:type="dxa"/>
            <w:tcBorders>
              <w:top w:val="single" w:sz="4" w:space="0" w:color="000000"/>
              <w:left w:val="single" w:sz="4" w:space="0" w:color="000000"/>
              <w:bottom w:val="single" w:sz="4" w:space="0" w:color="000000"/>
              <w:right w:val="single" w:sz="4" w:space="0" w:color="000000"/>
            </w:tcBorders>
          </w:tcPr>
          <w:p w14:paraId="5E1BBD60"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Arengustrateegia tegevussuuna eesmärgi E1 sihttase on täidetud, turule tulnud kalatoodete arv on sihttasemest suurem. Algtase oli 10 erinevat kalatoodet, sihttase - 15 erinevat kalatoodet. Sihttase saavutati 1 kalandusettevõtte tootmistegevusega. Kalandusettevõte </w:t>
            </w:r>
            <w:proofErr w:type="spellStart"/>
            <w:r>
              <w:rPr>
                <w:rFonts w:ascii="Times New Roman" w:eastAsia="Times New Roman" w:hAnsi="Times New Roman" w:cs="Times New Roman"/>
                <w:highlight w:val="white"/>
              </w:rPr>
              <w:t>Öselfish</w:t>
            </w:r>
            <w:proofErr w:type="spellEnd"/>
            <w:r>
              <w:rPr>
                <w:rFonts w:ascii="Times New Roman" w:eastAsia="Times New Roman" w:hAnsi="Times New Roman" w:cs="Times New Roman"/>
                <w:highlight w:val="white"/>
              </w:rPr>
              <w:t xml:space="preserve"> OÜ toodab Eesti turule, müüdavaim kaubamärk on “Leedevälja”.</w:t>
            </w:r>
          </w:p>
          <w:p w14:paraId="693CE87C" w14:textId="77777777" w:rsidR="008312AA" w:rsidRDefault="008312AA">
            <w:pPr>
              <w:spacing w:line="276" w:lineRule="auto"/>
              <w:rPr>
                <w:rFonts w:ascii="Times New Roman" w:eastAsia="Times New Roman" w:hAnsi="Times New Roman" w:cs="Times New Roman"/>
                <w:highlight w:val="white"/>
              </w:rPr>
            </w:pPr>
          </w:p>
        </w:tc>
      </w:tr>
      <w:tr w:rsidR="008312AA" w14:paraId="7B3D2C89" w14:textId="77777777">
        <w:tc>
          <w:tcPr>
            <w:tcW w:w="993" w:type="dxa"/>
            <w:tcBorders>
              <w:top w:val="single" w:sz="4" w:space="0" w:color="000000"/>
              <w:left w:val="single" w:sz="4" w:space="0" w:color="000000"/>
              <w:bottom w:val="single" w:sz="4" w:space="0" w:color="000000"/>
              <w:right w:val="single" w:sz="4" w:space="0" w:color="000000"/>
            </w:tcBorders>
          </w:tcPr>
          <w:p w14:paraId="52F35283"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692" w:type="dxa"/>
            <w:tcBorders>
              <w:top w:val="single" w:sz="4" w:space="0" w:color="000000"/>
              <w:left w:val="single" w:sz="4" w:space="0" w:color="000000"/>
              <w:bottom w:val="single" w:sz="4" w:space="0" w:color="000000"/>
              <w:right w:val="single" w:sz="4" w:space="0" w:color="000000"/>
            </w:tcBorders>
          </w:tcPr>
          <w:p w14:paraId="5BB147AD"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Saaremaa</w:t>
            </w:r>
          </w:p>
          <w:p w14:paraId="3B179AC1"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kalanduspiirkonnas on 18 kala </w:t>
            </w:r>
            <w:proofErr w:type="spellStart"/>
            <w:r>
              <w:rPr>
                <w:rFonts w:ascii="Times New Roman" w:eastAsia="Times New Roman" w:hAnsi="Times New Roman" w:cs="Times New Roman"/>
                <w:highlight w:val="white"/>
              </w:rPr>
              <w:t>väärindavat</w:t>
            </w:r>
            <w:proofErr w:type="spellEnd"/>
          </w:p>
          <w:p w14:paraId="1398AEF7"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tunnustatud ja/või</w:t>
            </w:r>
          </w:p>
          <w:p w14:paraId="637CECD4"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teavitatud mikroettevõtet,</w:t>
            </w:r>
          </w:p>
          <w:p w14:paraId="4A967C92"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mis on loonud 2 uut</w:t>
            </w:r>
          </w:p>
          <w:p w14:paraId="0A35DB0A" w14:textId="77777777" w:rsidR="008312AA" w:rsidRDefault="00000000">
            <w:pPr>
              <w:spacing w:line="276" w:lineRule="auto"/>
              <w:rPr>
                <w:rFonts w:ascii="Times New Roman" w:eastAsia="Times New Roman" w:hAnsi="Times New Roman" w:cs="Times New Roman"/>
                <w:highlight w:val="white"/>
              </w:rPr>
            </w:pPr>
            <w:r>
              <w:rPr>
                <w:rFonts w:ascii="Times New Roman" w:eastAsia="Times New Roman" w:hAnsi="Times New Roman" w:cs="Times New Roman"/>
                <w:highlight w:val="white"/>
              </w:rPr>
              <w:t>täistöökohta</w:t>
            </w:r>
          </w:p>
        </w:tc>
        <w:tc>
          <w:tcPr>
            <w:tcW w:w="5529" w:type="dxa"/>
            <w:tcBorders>
              <w:top w:val="single" w:sz="4" w:space="0" w:color="000000"/>
              <w:left w:val="single" w:sz="4" w:space="0" w:color="000000"/>
              <w:bottom w:val="single" w:sz="4" w:space="0" w:color="000000"/>
              <w:right w:val="single" w:sz="4" w:space="0" w:color="000000"/>
            </w:tcBorders>
          </w:tcPr>
          <w:p w14:paraId="4F20B49F" w14:textId="77777777" w:rsidR="008312AA" w:rsidRDefault="00000000">
            <w:pPr>
              <w:spacing w:line="276" w:lineRule="auto"/>
              <w:rPr>
                <w:rFonts w:ascii="Times New Roman" w:eastAsia="Times New Roman" w:hAnsi="Times New Roman" w:cs="Times New Roman"/>
              </w:rPr>
            </w:pPr>
            <w:r>
              <w:rPr>
                <w:rFonts w:ascii="Times New Roman" w:eastAsia="Times New Roman" w:hAnsi="Times New Roman" w:cs="Times New Roman"/>
                <w:highlight w:val="white"/>
              </w:rPr>
              <w:t xml:space="preserve">Arengustrateegia tegevussuuna eesmärgi E2 sihttase </w:t>
            </w:r>
            <w:proofErr w:type="spellStart"/>
            <w:r>
              <w:rPr>
                <w:rFonts w:ascii="Times New Roman" w:eastAsia="Times New Roman" w:hAnsi="Times New Roman" w:cs="Times New Roman"/>
              </w:rPr>
              <w:t>sihttase</w:t>
            </w:r>
            <w:proofErr w:type="spellEnd"/>
            <w:r>
              <w:rPr>
                <w:rFonts w:ascii="Times New Roman" w:eastAsia="Times New Roman" w:hAnsi="Times New Roman" w:cs="Times New Roman"/>
              </w:rPr>
              <w:t xml:space="preserve"> on osaliselt täidetud, turule on tulnud üks kala </w:t>
            </w:r>
            <w:proofErr w:type="spellStart"/>
            <w:r>
              <w:rPr>
                <w:rFonts w:ascii="Times New Roman" w:eastAsia="Times New Roman" w:hAnsi="Times New Roman" w:cs="Times New Roman"/>
              </w:rPr>
              <w:t>väärindav</w:t>
            </w:r>
            <w:proofErr w:type="spellEnd"/>
            <w:r>
              <w:rPr>
                <w:rFonts w:ascii="Times New Roman" w:eastAsia="Times New Roman" w:hAnsi="Times New Roman" w:cs="Times New Roman"/>
              </w:rPr>
              <w:t xml:space="preserve"> teavitatud mikroettevõtja. Uusi ettevõtjaid ei ole lisandunud. Toimunud on vastupidine protsess: pika ajalooga kalanduse ettevõte ostis väiksema kalandusettevõtte kaubamärgid.</w:t>
            </w:r>
          </w:p>
          <w:p w14:paraId="34BE1520" w14:textId="77777777" w:rsidR="008312AA" w:rsidRDefault="008312AA">
            <w:pPr>
              <w:spacing w:line="276" w:lineRule="auto"/>
              <w:rPr>
                <w:rFonts w:ascii="Times New Roman" w:eastAsia="Times New Roman" w:hAnsi="Times New Roman" w:cs="Times New Roman"/>
                <w:highlight w:val="white"/>
              </w:rPr>
            </w:pPr>
          </w:p>
        </w:tc>
      </w:tr>
    </w:tbl>
    <w:p w14:paraId="74E281A5" w14:textId="77777777" w:rsidR="008312AA" w:rsidRDefault="008312AA">
      <w:pPr>
        <w:spacing w:line="276" w:lineRule="auto"/>
        <w:rPr>
          <w:rFonts w:ascii="Times New Roman" w:eastAsia="Times New Roman" w:hAnsi="Times New Roman" w:cs="Times New Roman"/>
        </w:rPr>
      </w:pPr>
    </w:p>
    <w:p w14:paraId="30949D2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Põhjuseid on antud tegevusel mitu. Enamus kalatoodetest turustatakse väljaspool Saaremaad. Kala </w:t>
      </w:r>
      <w:proofErr w:type="spellStart"/>
      <w:r>
        <w:rPr>
          <w:rFonts w:ascii="Times New Roman" w:eastAsia="Times New Roman" w:hAnsi="Times New Roman" w:cs="Times New Roman"/>
        </w:rPr>
        <w:t>väärindamine</w:t>
      </w:r>
      <w:proofErr w:type="spellEnd"/>
      <w:r>
        <w:rPr>
          <w:rFonts w:ascii="Times New Roman" w:eastAsia="Times New Roman" w:hAnsi="Times New Roman" w:cs="Times New Roman"/>
        </w:rPr>
        <w:t xml:space="preserve"> ja turustamine Saaremaal omab mõju toote lõpphinnale. Transport mandrile on arvestatav kuluartikkel.</w:t>
      </w:r>
    </w:p>
    <w:p w14:paraId="505D2DD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Kalurite püügid Saaremaal on 2017.aastast vähenenud. Tootegrupid, mille tooraine on räim, lest, tuulehaug, tuleb sisse tuua Pärnust, lest koguni Leedust või Poolast. Iga sisse toodud kilogramm kala, lisab läbi transpordikulu hinda lõpptootele.</w:t>
      </w:r>
    </w:p>
    <w:p w14:paraId="21B4810D" w14:textId="77777777" w:rsidR="008312AA" w:rsidRDefault="008312AA">
      <w:pPr>
        <w:spacing w:line="276" w:lineRule="auto"/>
        <w:jc w:val="left"/>
        <w:rPr>
          <w:rFonts w:ascii="Times New Roman" w:eastAsia="Times New Roman" w:hAnsi="Times New Roman" w:cs="Times New Roman"/>
        </w:rPr>
      </w:pPr>
    </w:p>
    <w:p w14:paraId="24C79170" w14:textId="77777777" w:rsidR="008312AA" w:rsidRDefault="00000000">
      <w:pPr>
        <w:shd w:val="clear" w:color="auto" w:fill="A3DBFF"/>
        <w:spacing w:line="276" w:lineRule="auto"/>
        <w:jc w:val="left"/>
        <w:rPr>
          <w:rFonts w:ascii="Times New Roman" w:hAnsi="Times New Roman" w:cs="Times New Roman"/>
          <w:b/>
          <w:bCs/>
        </w:rPr>
      </w:pPr>
      <w:bookmarkStart w:id="124" w:name="_heading=h.9rhiadrlhtxy"/>
      <w:bookmarkStart w:id="125" w:name="_Toc154649019"/>
      <w:bookmarkEnd w:id="124"/>
      <w:r>
        <w:rPr>
          <w:rFonts w:ascii="Times New Roman" w:hAnsi="Times New Roman" w:cs="Times New Roman"/>
          <w:b/>
          <w:bCs/>
        </w:rPr>
        <w:t>Mitmekesistamine</w:t>
      </w:r>
      <w:bookmarkEnd w:id="125"/>
    </w:p>
    <w:p w14:paraId="172334A1" w14:textId="77777777" w:rsidR="008312AA" w:rsidRDefault="00000000">
      <w:pPr>
        <w:spacing w:line="276" w:lineRule="auto"/>
        <w:jc w:val="left"/>
        <w:rPr>
          <w:rFonts w:ascii="Times New Roman" w:eastAsia="Times New Roman" w:hAnsi="Times New Roman" w:cs="Times New Roman"/>
          <w:b/>
        </w:rPr>
      </w:pPr>
      <w:r>
        <w:rPr>
          <w:rFonts w:ascii="Times New Roman" w:eastAsia="Times New Roman" w:hAnsi="Times New Roman" w:cs="Times New Roman"/>
          <w:b/>
        </w:rPr>
        <w:t>Eesmärk:</w:t>
      </w:r>
    </w:p>
    <w:p w14:paraId="3CA6CE25"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E1: Kalandussektori ettevõtjale on loodud täiendavate sissetulekute saamiseks sh ranniku turismi edendamise valdkonnas.</w:t>
      </w:r>
    </w:p>
    <w:tbl>
      <w:tblPr>
        <w:tblW w:w="9146" w:type="dxa"/>
        <w:tblInd w:w="-220" w:type="dxa"/>
        <w:tblLayout w:type="fixed"/>
        <w:tblLook w:val="0400" w:firstRow="0" w:lastRow="0" w:firstColumn="0" w:lastColumn="0" w:noHBand="0" w:noVBand="1"/>
      </w:tblPr>
      <w:tblGrid>
        <w:gridCol w:w="1110"/>
        <w:gridCol w:w="2790"/>
        <w:gridCol w:w="5246"/>
      </w:tblGrid>
      <w:tr w:rsidR="008312AA" w14:paraId="04CDE594" w14:textId="77777777">
        <w:trPr>
          <w:tblHeader/>
        </w:trPr>
        <w:tc>
          <w:tcPr>
            <w:tcW w:w="111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63F2A1F" w14:textId="77777777" w:rsidR="008312AA" w:rsidRDefault="00000000">
            <w:pPr>
              <w:spacing w:line="276" w:lineRule="auto"/>
              <w:jc w:val="left"/>
              <w:rPr>
                <w:rFonts w:ascii="Times New Roman" w:eastAsia="Times New Roman" w:hAnsi="Times New Roman" w:cs="Times New Roman"/>
                <w:b/>
                <w:bCs/>
                <w:highlight w:val="white"/>
              </w:rPr>
            </w:pPr>
            <w:r>
              <w:rPr>
                <w:rFonts w:ascii="Times New Roman" w:eastAsia="Times New Roman" w:hAnsi="Times New Roman" w:cs="Times New Roman"/>
                <w:b/>
                <w:bCs/>
              </w:rPr>
              <w:t>Jrk nr</w:t>
            </w:r>
          </w:p>
        </w:tc>
        <w:tc>
          <w:tcPr>
            <w:tcW w:w="279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03FC872"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Sihttase</w:t>
            </w:r>
          </w:p>
        </w:tc>
        <w:tc>
          <w:tcPr>
            <w:tcW w:w="524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49F98771"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Tegelikult saavutatu</w:t>
            </w:r>
          </w:p>
        </w:tc>
      </w:tr>
      <w:tr w:rsidR="008312AA" w14:paraId="23E98CAD" w14:textId="77777777">
        <w:trPr>
          <w:tblHeader/>
        </w:trPr>
        <w:tc>
          <w:tcPr>
            <w:tcW w:w="1110" w:type="dxa"/>
            <w:tcBorders>
              <w:top w:val="single" w:sz="4" w:space="0" w:color="000000"/>
              <w:left w:val="single" w:sz="4" w:space="0" w:color="000000"/>
              <w:bottom w:val="single" w:sz="4" w:space="0" w:color="000000"/>
              <w:right w:val="single" w:sz="4" w:space="0" w:color="000000"/>
            </w:tcBorders>
          </w:tcPr>
          <w:p w14:paraId="69ED04F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p w14:paraId="44E4DD16" w14:textId="77777777" w:rsidR="008312AA" w:rsidRDefault="008312AA">
            <w:pPr>
              <w:spacing w:line="276" w:lineRule="auto"/>
              <w:jc w:val="left"/>
              <w:rPr>
                <w:rFonts w:ascii="Times New Roman" w:eastAsia="Times New Roman" w:hAnsi="Times New Roman" w:cs="Times New Roman"/>
                <w:highlight w:val="white"/>
              </w:rPr>
            </w:pPr>
          </w:p>
          <w:p w14:paraId="1B026EE9" w14:textId="77777777" w:rsidR="008312AA" w:rsidRDefault="008312AA">
            <w:pPr>
              <w:spacing w:line="276" w:lineRule="auto"/>
              <w:jc w:val="left"/>
              <w:rPr>
                <w:rFonts w:ascii="Times New Roman" w:eastAsia="Times New Roman" w:hAnsi="Times New Roman" w:cs="Times New Roman"/>
                <w:highlight w:val="white"/>
              </w:rPr>
            </w:pPr>
          </w:p>
          <w:p w14:paraId="476592EC" w14:textId="77777777" w:rsidR="008312AA" w:rsidRDefault="008312AA">
            <w:pPr>
              <w:spacing w:line="276" w:lineRule="auto"/>
              <w:jc w:val="left"/>
              <w:rPr>
                <w:rFonts w:ascii="Times New Roman" w:eastAsia="Times New Roman" w:hAnsi="Times New Roman" w:cs="Times New Roman"/>
                <w:highlight w:val="white"/>
              </w:rPr>
            </w:pPr>
          </w:p>
          <w:p w14:paraId="1EC23D01" w14:textId="77777777" w:rsidR="008312AA" w:rsidRDefault="008312AA">
            <w:pPr>
              <w:spacing w:line="276" w:lineRule="auto"/>
              <w:jc w:val="left"/>
              <w:rPr>
                <w:rFonts w:ascii="Times New Roman" w:eastAsia="Times New Roman" w:hAnsi="Times New Roman" w:cs="Times New Roman"/>
                <w:highlight w:val="white"/>
              </w:rPr>
            </w:pPr>
          </w:p>
          <w:p w14:paraId="1CAB1DF7" w14:textId="77777777" w:rsidR="008312AA" w:rsidRDefault="008312AA">
            <w:pPr>
              <w:spacing w:line="276" w:lineRule="auto"/>
              <w:jc w:val="left"/>
              <w:rPr>
                <w:rFonts w:ascii="Times New Roman" w:eastAsia="Times New Roman" w:hAnsi="Times New Roman" w:cs="Times New Roman"/>
                <w:highlight w:val="white"/>
              </w:rPr>
            </w:pPr>
          </w:p>
        </w:tc>
        <w:tc>
          <w:tcPr>
            <w:tcW w:w="2790" w:type="dxa"/>
            <w:tcBorders>
              <w:top w:val="single" w:sz="4" w:space="0" w:color="000000"/>
              <w:left w:val="single" w:sz="4" w:space="0" w:color="000000"/>
              <w:bottom w:val="single" w:sz="4" w:space="0" w:color="000000"/>
              <w:right w:val="single" w:sz="4" w:space="0" w:color="000000"/>
            </w:tcBorders>
          </w:tcPr>
          <w:p w14:paraId="6BA954F6"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Vähemalt 30 kalandussektori ettevõtjat saab täiendavaid sissetulekuid väljaspool kalapüüki (lisandub 8 täistöökohta</w:t>
            </w:r>
          </w:p>
          <w:p w14:paraId="5A2D3F1A" w14:textId="77777777" w:rsidR="008312AA" w:rsidRDefault="008312AA">
            <w:pPr>
              <w:spacing w:line="276" w:lineRule="auto"/>
              <w:jc w:val="left"/>
              <w:rPr>
                <w:rFonts w:ascii="Times New Roman" w:eastAsia="Times New Roman" w:hAnsi="Times New Roman" w:cs="Times New Roman"/>
                <w:highlight w:val="white"/>
              </w:rPr>
            </w:pPr>
          </w:p>
        </w:tc>
        <w:tc>
          <w:tcPr>
            <w:tcW w:w="5246" w:type="dxa"/>
            <w:tcBorders>
              <w:top w:val="single" w:sz="4" w:space="0" w:color="000000"/>
              <w:left w:val="single" w:sz="4" w:space="0" w:color="000000"/>
              <w:bottom w:val="single" w:sz="4" w:space="0" w:color="000000"/>
              <w:right w:val="single" w:sz="4" w:space="0" w:color="000000"/>
            </w:tcBorders>
          </w:tcPr>
          <w:p w14:paraId="14DAAB4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Ellu on viidud 42 projekti. Tegevussuuna eesmärk, 30 kalandussektori ettevõtjat saab täiendavaid sissetulekuid väljaspool kalapüüki, on täidetud. Eesmärk, 8 uut täistöökohta, ei täideta.</w:t>
            </w:r>
          </w:p>
        </w:tc>
      </w:tr>
    </w:tbl>
    <w:p w14:paraId="51C68012" w14:textId="77777777" w:rsidR="008312AA" w:rsidRDefault="008312AA">
      <w:pPr>
        <w:spacing w:line="276" w:lineRule="auto"/>
        <w:jc w:val="left"/>
        <w:rPr>
          <w:rFonts w:ascii="Times New Roman" w:eastAsia="Times New Roman" w:hAnsi="Times New Roman" w:cs="Times New Roman"/>
        </w:rPr>
      </w:pPr>
    </w:p>
    <w:p w14:paraId="472C075C"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Saaremaa kalanduspiirkonna kalurite küsitlusel on selgunud, et tänu mitmekesistamise tegevussuunale on võimalik säilitada seniseid töökohti, uute loomine ei ole majanduslikult võimalik. Kalandusest saadav tulu on väike, projektide taotlemisel on probleem omaosaluse katmiseks.</w:t>
      </w:r>
    </w:p>
    <w:p w14:paraId="7F231F92" w14:textId="77777777" w:rsidR="008312AA" w:rsidRDefault="008312AA">
      <w:pPr>
        <w:spacing w:line="276" w:lineRule="auto"/>
        <w:jc w:val="left"/>
        <w:rPr>
          <w:rFonts w:ascii="Times New Roman" w:eastAsia="Times New Roman" w:hAnsi="Times New Roman" w:cs="Times New Roman"/>
        </w:rPr>
      </w:pPr>
    </w:p>
    <w:p w14:paraId="017F2B5D" w14:textId="77777777" w:rsidR="008312AA" w:rsidRDefault="00000000">
      <w:pPr>
        <w:shd w:val="clear" w:color="auto" w:fill="A3DBFF"/>
        <w:spacing w:line="276" w:lineRule="auto"/>
        <w:jc w:val="left"/>
        <w:rPr>
          <w:rFonts w:ascii="Times New Roman" w:hAnsi="Times New Roman" w:cs="Times New Roman"/>
          <w:b/>
          <w:bCs/>
        </w:rPr>
      </w:pPr>
      <w:bookmarkStart w:id="126" w:name="_Toc154649020"/>
      <w:r>
        <w:rPr>
          <w:rFonts w:ascii="Times New Roman" w:hAnsi="Times New Roman" w:cs="Times New Roman"/>
          <w:b/>
          <w:bCs/>
        </w:rPr>
        <w:t>Kalasadamate uuendamine</w:t>
      </w:r>
      <w:bookmarkEnd w:id="126"/>
    </w:p>
    <w:p w14:paraId="06AF4410" w14:textId="77777777" w:rsidR="008312AA" w:rsidRDefault="00000000">
      <w:pPr>
        <w:spacing w:line="276" w:lineRule="auto"/>
        <w:jc w:val="left"/>
        <w:rPr>
          <w:rFonts w:ascii="Times New Roman" w:eastAsia="Times New Roman" w:hAnsi="Times New Roman" w:cs="Times New Roman"/>
          <w:b/>
          <w:highlight w:val="white"/>
        </w:rPr>
      </w:pPr>
      <w:r>
        <w:rPr>
          <w:rFonts w:ascii="Times New Roman" w:eastAsia="Times New Roman" w:hAnsi="Times New Roman" w:cs="Times New Roman"/>
          <w:b/>
          <w:highlight w:val="white"/>
        </w:rPr>
        <w:t>Eesmärgid:</w:t>
      </w:r>
    </w:p>
    <w:p w14:paraId="0CD2D2E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E1: Täielikult on renoveeritud 4 kalasadamat. Igas renoveeritud sadamas on olemas vähemalt kai, </w:t>
      </w:r>
      <w:proofErr w:type="spellStart"/>
      <w:r>
        <w:rPr>
          <w:rFonts w:ascii="Times New Roman" w:eastAsia="Times New Roman" w:hAnsi="Times New Roman" w:cs="Times New Roman"/>
          <w:highlight w:val="white"/>
        </w:rPr>
        <w:t>slipp</w:t>
      </w:r>
      <w:proofErr w:type="spellEnd"/>
      <w:r>
        <w:rPr>
          <w:rFonts w:ascii="Times New Roman" w:eastAsia="Times New Roman" w:hAnsi="Times New Roman" w:cs="Times New Roman"/>
          <w:highlight w:val="white"/>
        </w:rPr>
        <w:t>, võimalused kala lossimiseks, kala vastu võtmise võimalused, esmased hoiustamistingimused, kaluritele on tagatud esmased olme- ja sanitaartingimused.</w:t>
      </w:r>
    </w:p>
    <w:p w14:paraId="0EF2035C"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E2: Sadamates, kus kala lossitakse, on paranenud lossimistingimused. Renoveeritud sadamas on olemas vähemalt kai, </w:t>
      </w:r>
      <w:proofErr w:type="spellStart"/>
      <w:r>
        <w:rPr>
          <w:rFonts w:ascii="Times New Roman" w:eastAsia="Times New Roman" w:hAnsi="Times New Roman" w:cs="Times New Roman"/>
          <w:highlight w:val="white"/>
        </w:rPr>
        <w:t>slipp</w:t>
      </w:r>
      <w:proofErr w:type="spellEnd"/>
      <w:r>
        <w:rPr>
          <w:rFonts w:ascii="Times New Roman" w:eastAsia="Times New Roman" w:hAnsi="Times New Roman" w:cs="Times New Roman"/>
          <w:highlight w:val="white"/>
        </w:rPr>
        <w:t>, võimalused kala lossimiseks, kala vastu võtmise võimalused.</w:t>
      </w:r>
    </w:p>
    <w:p w14:paraId="75779FEC" w14:textId="77777777" w:rsidR="008312AA" w:rsidRDefault="008312AA">
      <w:pPr>
        <w:spacing w:line="276" w:lineRule="auto"/>
        <w:jc w:val="left"/>
        <w:rPr>
          <w:rFonts w:ascii="Times New Roman" w:eastAsia="Times New Roman" w:hAnsi="Times New Roman" w:cs="Times New Roman"/>
          <w:highlight w:val="white"/>
        </w:rPr>
      </w:pPr>
    </w:p>
    <w:tbl>
      <w:tblPr>
        <w:tblW w:w="9167" w:type="dxa"/>
        <w:tblInd w:w="-100" w:type="dxa"/>
        <w:tblLayout w:type="fixed"/>
        <w:tblLook w:val="0400" w:firstRow="0" w:lastRow="0" w:firstColumn="0" w:lastColumn="0" w:noHBand="0" w:noVBand="1"/>
      </w:tblPr>
      <w:tblGrid>
        <w:gridCol w:w="988"/>
        <w:gridCol w:w="2793"/>
        <w:gridCol w:w="5386"/>
      </w:tblGrid>
      <w:tr w:rsidR="008312AA" w14:paraId="70763D07" w14:textId="77777777">
        <w:tc>
          <w:tcPr>
            <w:tcW w:w="98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93F0B79"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Jrk nr</w:t>
            </w:r>
          </w:p>
        </w:tc>
        <w:tc>
          <w:tcPr>
            <w:tcW w:w="27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2A7DE06" w14:textId="77777777" w:rsidR="008312AA" w:rsidRDefault="00000000">
            <w:pPr>
              <w:spacing w:line="276" w:lineRule="auto"/>
              <w:jc w:val="left"/>
              <w:rPr>
                <w:rFonts w:ascii="Times New Roman" w:eastAsia="Times New Roman" w:hAnsi="Times New Roman" w:cs="Times New Roman"/>
                <w:b/>
                <w:bCs/>
                <w:highlight w:val="cyan"/>
              </w:rPr>
            </w:pPr>
            <w:r>
              <w:rPr>
                <w:rFonts w:ascii="Times New Roman" w:eastAsia="Times New Roman" w:hAnsi="Times New Roman" w:cs="Times New Roman"/>
                <w:b/>
                <w:bCs/>
              </w:rPr>
              <w:t>Sihttase</w:t>
            </w:r>
          </w:p>
        </w:tc>
        <w:tc>
          <w:tcPr>
            <w:tcW w:w="538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CFD6772" w14:textId="77777777" w:rsidR="008312AA" w:rsidRDefault="00000000">
            <w:pPr>
              <w:spacing w:line="276" w:lineRule="auto"/>
              <w:jc w:val="left"/>
              <w:rPr>
                <w:rFonts w:ascii="Times New Roman" w:eastAsia="Times New Roman" w:hAnsi="Times New Roman" w:cs="Times New Roman"/>
                <w:b/>
                <w:bCs/>
                <w:highlight w:val="white"/>
              </w:rPr>
            </w:pPr>
            <w:r>
              <w:rPr>
                <w:rFonts w:ascii="Times New Roman" w:eastAsia="Times New Roman" w:hAnsi="Times New Roman" w:cs="Times New Roman"/>
                <w:b/>
                <w:bCs/>
              </w:rPr>
              <w:t>Tegelikult saavutatu</w:t>
            </w:r>
          </w:p>
        </w:tc>
      </w:tr>
      <w:tr w:rsidR="008312AA" w14:paraId="76DC21DB" w14:textId="77777777">
        <w:tc>
          <w:tcPr>
            <w:tcW w:w="988" w:type="dxa"/>
            <w:tcBorders>
              <w:top w:val="single" w:sz="4" w:space="0" w:color="000000"/>
              <w:left w:val="single" w:sz="4" w:space="0" w:color="000000"/>
              <w:bottom w:val="single" w:sz="4" w:space="0" w:color="000000"/>
              <w:right w:val="single" w:sz="4" w:space="0" w:color="000000"/>
            </w:tcBorders>
          </w:tcPr>
          <w:p w14:paraId="031033B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793" w:type="dxa"/>
            <w:tcBorders>
              <w:top w:val="single" w:sz="4" w:space="0" w:color="000000"/>
              <w:left w:val="single" w:sz="4" w:space="0" w:color="000000"/>
              <w:bottom w:val="single" w:sz="4" w:space="0" w:color="000000"/>
              <w:right w:val="single" w:sz="4" w:space="0" w:color="000000"/>
            </w:tcBorders>
          </w:tcPr>
          <w:p w14:paraId="1F9D158D"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Kokku vähemalt 9 sadamat on täielikult renoveeritud</w:t>
            </w:r>
          </w:p>
        </w:tc>
        <w:tc>
          <w:tcPr>
            <w:tcW w:w="5386" w:type="dxa"/>
            <w:tcBorders>
              <w:top w:val="single" w:sz="4" w:space="0" w:color="000000"/>
              <w:left w:val="single" w:sz="4" w:space="0" w:color="000000"/>
              <w:bottom w:val="single" w:sz="4" w:space="0" w:color="000000"/>
              <w:right w:val="single" w:sz="4" w:space="0" w:color="000000"/>
            </w:tcBorders>
          </w:tcPr>
          <w:p w14:paraId="685097C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Täielikult renoveeriti perioodi jooksul 2 sadamat, seega kokku on täielikult renoveeritud 7, s.o 2 vähem kui kavandatud</w:t>
            </w:r>
          </w:p>
        </w:tc>
      </w:tr>
      <w:tr w:rsidR="008312AA" w14:paraId="07DEDA32" w14:textId="77777777">
        <w:tc>
          <w:tcPr>
            <w:tcW w:w="988" w:type="dxa"/>
            <w:tcBorders>
              <w:top w:val="single" w:sz="4" w:space="0" w:color="000000"/>
              <w:left w:val="single" w:sz="4" w:space="0" w:color="000000"/>
              <w:bottom w:val="single" w:sz="4" w:space="0" w:color="000000"/>
              <w:right w:val="single" w:sz="4" w:space="0" w:color="000000"/>
            </w:tcBorders>
          </w:tcPr>
          <w:p w14:paraId="760BC9F6"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793" w:type="dxa"/>
            <w:tcBorders>
              <w:top w:val="single" w:sz="4" w:space="0" w:color="000000"/>
              <w:left w:val="single" w:sz="4" w:space="0" w:color="000000"/>
              <w:bottom w:val="single" w:sz="4" w:space="0" w:color="000000"/>
              <w:right w:val="single" w:sz="4" w:space="0" w:color="000000"/>
            </w:tcBorders>
          </w:tcPr>
          <w:p w14:paraId="3D4FE8DD"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Vähemalt 14 sadamas on lossimistingimused paranenud</w:t>
            </w:r>
          </w:p>
        </w:tc>
        <w:tc>
          <w:tcPr>
            <w:tcW w:w="5386" w:type="dxa"/>
            <w:tcBorders>
              <w:top w:val="single" w:sz="4" w:space="0" w:color="000000"/>
              <w:left w:val="single" w:sz="4" w:space="0" w:color="000000"/>
              <w:bottom w:val="single" w:sz="4" w:space="0" w:color="000000"/>
              <w:right w:val="single" w:sz="4" w:space="0" w:color="000000"/>
            </w:tcBorders>
          </w:tcPr>
          <w:p w14:paraId="3DA541EC"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rPr>
              <w:t>Lossimise tingimused on paranenud 10 kalasadamas</w:t>
            </w:r>
          </w:p>
        </w:tc>
      </w:tr>
    </w:tbl>
    <w:p w14:paraId="0B657361" w14:textId="77777777" w:rsidR="008312AA" w:rsidRDefault="008312AA">
      <w:pPr>
        <w:spacing w:line="276" w:lineRule="auto"/>
        <w:jc w:val="left"/>
        <w:rPr>
          <w:rFonts w:ascii="Times New Roman" w:eastAsia="Times New Roman" w:hAnsi="Times New Roman" w:cs="Times New Roman"/>
          <w:highlight w:val="yellow"/>
        </w:rPr>
      </w:pPr>
    </w:p>
    <w:p w14:paraId="4E08011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Kalasadamate ja lossimiskohtade uuendamise tegevussuuna alt võetud eesmärgid ei ole strateegia lõpuks täidetud. Eesmärgiks oli 4 kalasadama täielik renoveerimine, vähemalt 14 sadamas on lossimistingimused paranenud.</w:t>
      </w:r>
    </w:p>
    <w:p w14:paraId="241EB9AE"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2015. aastaks oli rannakalandus Saaremaal tõusuteel. Püüti masskala - räime. Räime püügiks ja müügiks on kaluril vajalik kasutada sadamateenuseid. Räime püük eeldab suuri paate, </w:t>
      </w:r>
      <w:r>
        <w:rPr>
          <w:rFonts w:ascii="Times New Roman" w:eastAsia="Times New Roman" w:hAnsi="Times New Roman" w:cs="Times New Roman"/>
        </w:rPr>
        <w:lastRenderedPageBreak/>
        <w:t>millega viia püünised (kastmõrrad) püügile. Omakorda on vajalik kai ja kai ääres vastav sügavus. Kala lossimiseks on vajalik kalapump, pakendamisliin ja soovitavalt ka jäägeneraator ning jahutusruum.</w:t>
      </w:r>
    </w:p>
    <w:p w14:paraId="49C61862"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Mida vähemaks jäi räimepüük, seda rohkem orienteeruti ümber ahvenapüügile, mis ei eelda sadamaid. Paat viiakse merre lautrikohast või siis otse kaldalt. Räimepüük jäi ainult ühte sadamasse - Nasva jõesadamasse.</w:t>
      </w:r>
    </w:p>
    <w:p w14:paraId="4FA24F14" w14:textId="77777777" w:rsidR="008312AA" w:rsidRDefault="008312AA">
      <w:pPr>
        <w:spacing w:line="276" w:lineRule="auto"/>
        <w:jc w:val="left"/>
        <w:rPr>
          <w:rFonts w:ascii="Times New Roman" w:eastAsia="Times New Roman" w:hAnsi="Times New Roman" w:cs="Times New Roman"/>
        </w:rPr>
      </w:pPr>
    </w:p>
    <w:p w14:paraId="20C08630" w14:textId="77777777" w:rsidR="008312AA" w:rsidRDefault="00000000">
      <w:pPr>
        <w:shd w:val="clear" w:color="auto" w:fill="A3DBFF"/>
        <w:spacing w:line="276" w:lineRule="auto"/>
        <w:jc w:val="left"/>
        <w:rPr>
          <w:rFonts w:ascii="Times New Roman" w:hAnsi="Times New Roman" w:cs="Times New Roman"/>
          <w:b/>
          <w:bCs/>
        </w:rPr>
      </w:pPr>
      <w:bookmarkStart w:id="127" w:name="_Toc154649021"/>
      <w:r>
        <w:rPr>
          <w:rFonts w:ascii="Times New Roman" w:hAnsi="Times New Roman" w:cs="Times New Roman"/>
          <w:b/>
          <w:bCs/>
        </w:rPr>
        <w:t>Koelmualade taastamine ja loomine ning angerja eksperimentaalne asustamine</w:t>
      </w:r>
      <w:bookmarkEnd w:id="127"/>
    </w:p>
    <w:p w14:paraId="14E8A3B3" w14:textId="77777777" w:rsidR="008312AA" w:rsidRDefault="00000000">
      <w:pPr>
        <w:spacing w:line="276" w:lineRule="auto"/>
        <w:jc w:val="left"/>
        <w:rPr>
          <w:rFonts w:ascii="Times New Roman" w:eastAsia="Times New Roman" w:hAnsi="Times New Roman" w:cs="Times New Roman"/>
          <w:b/>
        </w:rPr>
      </w:pPr>
      <w:r>
        <w:rPr>
          <w:rFonts w:ascii="Times New Roman" w:eastAsia="Times New Roman" w:hAnsi="Times New Roman" w:cs="Times New Roman"/>
          <w:b/>
        </w:rPr>
        <w:t>Eesmärk:</w:t>
      </w:r>
    </w:p>
    <w:p w14:paraId="3BDCCFB6"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E1: Kalavarude taastootmiseks on tingimused paranenud.</w:t>
      </w:r>
    </w:p>
    <w:p w14:paraId="2119501C"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 Angerja noorjärgud on Saaremaa rannikumerre eksperimentaalselt asustatud.</w:t>
      </w:r>
    </w:p>
    <w:p w14:paraId="63231797" w14:textId="77777777" w:rsidR="008312AA" w:rsidRDefault="008312AA">
      <w:pPr>
        <w:spacing w:line="276" w:lineRule="auto"/>
        <w:jc w:val="left"/>
        <w:rPr>
          <w:rFonts w:ascii="Times New Roman" w:eastAsia="Times New Roman" w:hAnsi="Times New Roman" w:cs="Times New Roman"/>
          <w:highlight w:val="white"/>
        </w:rPr>
      </w:pPr>
    </w:p>
    <w:tbl>
      <w:tblPr>
        <w:tblW w:w="9167" w:type="dxa"/>
        <w:tblInd w:w="-100" w:type="dxa"/>
        <w:tblLayout w:type="fixed"/>
        <w:tblLook w:val="0400" w:firstRow="0" w:lastRow="0" w:firstColumn="0" w:lastColumn="0" w:noHBand="0" w:noVBand="1"/>
      </w:tblPr>
      <w:tblGrid>
        <w:gridCol w:w="988"/>
        <w:gridCol w:w="2793"/>
        <w:gridCol w:w="5386"/>
      </w:tblGrid>
      <w:tr w:rsidR="008312AA" w14:paraId="7311BF60" w14:textId="77777777">
        <w:tc>
          <w:tcPr>
            <w:tcW w:w="98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44CD864" w14:textId="77777777" w:rsidR="008312AA" w:rsidRDefault="00000000">
            <w:pPr>
              <w:spacing w:line="276" w:lineRule="auto"/>
              <w:jc w:val="left"/>
              <w:rPr>
                <w:rFonts w:ascii="Times New Roman" w:eastAsia="Times New Roman" w:hAnsi="Times New Roman" w:cs="Times New Roman"/>
                <w:b/>
                <w:bCs/>
                <w:highlight w:val="cyan"/>
              </w:rPr>
            </w:pPr>
            <w:r>
              <w:rPr>
                <w:rFonts w:ascii="Times New Roman" w:eastAsia="Times New Roman" w:hAnsi="Times New Roman" w:cs="Times New Roman"/>
                <w:b/>
                <w:bCs/>
              </w:rPr>
              <w:t>Jrk nr</w:t>
            </w:r>
          </w:p>
        </w:tc>
        <w:tc>
          <w:tcPr>
            <w:tcW w:w="27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3165AAF" w14:textId="77777777" w:rsidR="008312AA" w:rsidRDefault="00000000">
            <w:pPr>
              <w:spacing w:line="276" w:lineRule="auto"/>
              <w:jc w:val="left"/>
              <w:rPr>
                <w:rFonts w:ascii="Times New Roman" w:eastAsia="Times New Roman" w:hAnsi="Times New Roman" w:cs="Times New Roman"/>
                <w:b/>
                <w:bCs/>
                <w:highlight w:val="cyan"/>
              </w:rPr>
            </w:pPr>
            <w:r>
              <w:rPr>
                <w:rFonts w:ascii="Times New Roman" w:eastAsia="Times New Roman" w:hAnsi="Times New Roman" w:cs="Times New Roman"/>
                <w:b/>
                <w:bCs/>
              </w:rPr>
              <w:t>Sihttase</w:t>
            </w:r>
          </w:p>
        </w:tc>
        <w:tc>
          <w:tcPr>
            <w:tcW w:w="538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BA1A3B2" w14:textId="77777777" w:rsidR="008312AA" w:rsidRDefault="00000000">
            <w:pPr>
              <w:spacing w:line="276" w:lineRule="auto"/>
              <w:jc w:val="left"/>
              <w:rPr>
                <w:rFonts w:ascii="Times New Roman" w:eastAsia="Times New Roman" w:hAnsi="Times New Roman" w:cs="Times New Roman"/>
                <w:b/>
                <w:bCs/>
                <w:highlight w:val="cyan"/>
              </w:rPr>
            </w:pPr>
            <w:r>
              <w:rPr>
                <w:rFonts w:ascii="Times New Roman" w:eastAsia="Times New Roman" w:hAnsi="Times New Roman" w:cs="Times New Roman"/>
                <w:b/>
                <w:bCs/>
              </w:rPr>
              <w:t>Tegelikult saavutatu</w:t>
            </w:r>
          </w:p>
        </w:tc>
      </w:tr>
      <w:tr w:rsidR="008312AA" w14:paraId="51AA5E47" w14:textId="77777777">
        <w:tc>
          <w:tcPr>
            <w:tcW w:w="988" w:type="dxa"/>
            <w:tcBorders>
              <w:top w:val="single" w:sz="4" w:space="0" w:color="000000"/>
              <w:left w:val="single" w:sz="4" w:space="0" w:color="000000"/>
              <w:bottom w:val="single" w:sz="4" w:space="0" w:color="000000"/>
              <w:right w:val="single" w:sz="4" w:space="0" w:color="000000"/>
            </w:tcBorders>
          </w:tcPr>
          <w:p w14:paraId="0AE7AC4E"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793" w:type="dxa"/>
            <w:tcBorders>
              <w:top w:val="single" w:sz="4" w:space="0" w:color="000000"/>
              <w:left w:val="single" w:sz="4" w:space="0" w:color="000000"/>
              <w:bottom w:val="single" w:sz="4" w:space="0" w:color="000000"/>
              <w:right w:val="single" w:sz="4" w:space="0" w:color="000000"/>
            </w:tcBorders>
          </w:tcPr>
          <w:p w14:paraId="74C9EB7F"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Vähemalt kahel veekogul on koelmukohtade arv suurendatud</w:t>
            </w:r>
          </w:p>
        </w:tc>
        <w:tc>
          <w:tcPr>
            <w:tcW w:w="5386" w:type="dxa"/>
            <w:tcBorders>
              <w:top w:val="single" w:sz="4" w:space="0" w:color="000000"/>
              <w:left w:val="single" w:sz="4" w:space="0" w:color="000000"/>
              <w:bottom w:val="single" w:sz="4" w:space="0" w:color="000000"/>
              <w:right w:val="single" w:sz="4" w:space="0" w:color="000000"/>
            </w:tcBorders>
          </w:tcPr>
          <w:p w14:paraId="015C6C10"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Eesmärk on täidetud. </w:t>
            </w:r>
            <w:r>
              <w:rPr>
                <w:rFonts w:ascii="Times New Roman" w:eastAsia="Times New Roman" w:hAnsi="Times New Roman" w:cs="Times New Roman"/>
              </w:rPr>
              <w:t>EMKF projektitoetustega on Muhus korda tehtud nelja (4) jõe suudmealad. Saaremaa Vallavalitsus, kelle keskkonnaosakonnal on pädevus keskkonnaalaste projektide ellu viimisel, parandas koelmu kohti ja suudmeid 10 veekogul. Veekogud olid välja valitud Tartu Ülikooli Mereinstituudi teadlaste poolt. Kõik veekogud asuvad Saaremaa põhjarannikul.</w:t>
            </w:r>
          </w:p>
        </w:tc>
      </w:tr>
      <w:tr w:rsidR="008312AA" w14:paraId="166EF3BE" w14:textId="77777777">
        <w:tc>
          <w:tcPr>
            <w:tcW w:w="988" w:type="dxa"/>
            <w:tcBorders>
              <w:top w:val="single" w:sz="4" w:space="0" w:color="000000"/>
              <w:left w:val="single" w:sz="4" w:space="0" w:color="000000"/>
              <w:bottom w:val="single" w:sz="4" w:space="0" w:color="000000"/>
              <w:right w:val="single" w:sz="4" w:space="0" w:color="000000"/>
            </w:tcBorders>
          </w:tcPr>
          <w:p w14:paraId="0FEFBA0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793" w:type="dxa"/>
            <w:tcBorders>
              <w:top w:val="single" w:sz="4" w:space="0" w:color="000000"/>
              <w:left w:val="single" w:sz="4" w:space="0" w:color="000000"/>
              <w:bottom w:val="single" w:sz="4" w:space="0" w:color="000000"/>
              <w:right w:val="single" w:sz="4" w:space="0" w:color="000000"/>
            </w:tcBorders>
          </w:tcPr>
          <w:p w14:paraId="7AC0D451"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Saaremaa rannikumerre on asustatud 500 000 angerja noorjärku</w:t>
            </w:r>
          </w:p>
        </w:tc>
        <w:tc>
          <w:tcPr>
            <w:tcW w:w="5386" w:type="dxa"/>
            <w:tcBorders>
              <w:top w:val="single" w:sz="4" w:space="0" w:color="000000"/>
              <w:left w:val="single" w:sz="4" w:space="0" w:color="000000"/>
              <w:bottom w:val="single" w:sz="4" w:space="0" w:color="000000"/>
              <w:right w:val="single" w:sz="4" w:space="0" w:color="000000"/>
            </w:tcBorders>
          </w:tcPr>
          <w:p w14:paraId="529E1A97"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Eesmärk on osaliselt täidetud. Rannikumerre asustati 150 000 angerjamaimu.</w:t>
            </w:r>
          </w:p>
        </w:tc>
      </w:tr>
    </w:tbl>
    <w:p w14:paraId="39896E2E" w14:textId="77777777" w:rsidR="008312AA" w:rsidRDefault="008312AA">
      <w:pPr>
        <w:spacing w:line="276" w:lineRule="auto"/>
        <w:jc w:val="left"/>
        <w:rPr>
          <w:rFonts w:ascii="Times New Roman" w:eastAsia="Times New Roman" w:hAnsi="Times New Roman" w:cs="Times New Roman"/>
        </w:rPr>
      </w:pPr>
    </w:p>
    <w:p w14:paraId="6854B05A"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Kokku toetati rahastusperioodil nelja (4) koelmualade taastamise ja bioloogilise mitmekesistamise edendamise  valdkonna projekti.</w:t>
      </w:r>
    </w:p>
    <w:p w14:paraId="13FE5E2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Püstitatud eesmärgid täideti. Kindlasti jätkub koelmualade puhastamine ka uuel perioodil.</w:t>
      </w:r>
    </w:p>
    <w:p w14:paraId="206E3EB5" w14:textId="77777777" w:rsidR="008312AA" w:rsidRDefault="008312AA">
      <w:pPr>
        <w:spacing w:line="276" w:lineRule="auto"/>
        <w:jc w:val="left"/>
        <w:rPr>
          <w:rFonts w:ascii="Times New Roman" w:hAnsi="Times New Roman" w:cs="Times New Roman"/>
        </w:rPr>
      </w:pPr>
    </w:p>
    <w:p w14:paraId="40685F00" w14:textId="77777777" w:rsidR="008312AA" w:rsidRDefault="00000000">
      <w:pPr>
        <w:shd w:val="clear" w:color="auto" w:fill="A3DBFF"/>
        <w:spacing w:line="276" w:lineRule="auto"/>
        <w:jc w:val="left"/>
        <w:rPr>
          <w:rFonts w:ascii="Times New Roman" w:hAnsi="Times New Roman" w:cs="Times New Roman"/>
          <w:b/>
          <w:bCs/>
        </w:rPr>
      </w:pPr>
      <w:bookmarkStart w:id="128" w:name="_heading=h.qwqygvb97bkd"/>
      <w:bookmarkStart w:id="129" w:name="_Toc154649022"/>
      <w:bookmarkEnd w:id="128"/>
      <w:r>
        <w:rPr>
          <w:rFonts w:ascii="Times New Roman" w:hAnsi="Times New Roman" w:cs="Times New Roman"/>
          <w:b/>
          <w:bCs/>
        </w:rPr>
        <w:t>Sotsiaalse heaolu ja kultuuripärandi, sh kalanduse- ja merenduse kultuuripärandi edendamine kalanduspiirkonnas</w:t>
      </w:r>
      <w:bookmarkEnd w:id="129"/>
    </w:p>
    <w:p w14:paraId="7F115425" w14:textId="77777777" w:rsidR="008312AA" w:rsidRDefault="00000000">
      <w:pPr>
        <w:spacing w:line="276" w:lineRule="auto"/>
        <w:jc w:val="left"/>
        <w:rPr>
          <w:rFonts w:ascii="Times New Roman" w:eastAsia="Times New Roman" w:hAnsi="Times New Roman" w:cs="Times New Roman"/>
          <w:b/>
        </w:rPr>
      </w:pPr>
      <w:r>
        <w:rPr>
          <w:rFonts w:ascii="Times New Roman" w:eastAsia="Times New Roman" w:hAnsi="Times New Roman" w:cs="Times New Roman"/>
          <w:b/>
        </w:rPr>
        <w:t>Eesmärgid:</w:t>
      </w:r>
    </w:p>
    <w:p w14:paraId="56D604C7"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E1: Laiendatud on avalikke maale- ja merele pääsu võimalusi koos vajaliku taristuga</w:t>
      </w:r>
    </w:p>
    <w:p w14:paraId="6B823183"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E2: Loodud on võimalused kalandussektori organisatsioonide ühistegevuseks ja piirkondliku kultuuripärandi tutvustamiseks.</w:t>
      </w:r>
    </w:p>
    <w:p w14:paraId="7CB26C0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E3: Kalandus- ja mere sektor on maakonnas nähtavad.</w:t>
      </w:r>
    </w:p>
    <w:p w14:paraId="63E6D85A"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lastRenderedPageBreak/>
        <w:t>E4: Lapsed ja noored on haaratud kala traditsioonide säilitamisse maakonnas.</w:t>
      </w:r>
    </w:p>
    <w:p w14:paraId="2A06DB20" w14:textId="77777777" w:rsidR="008312AA" w:rsidRDefault="008312AA">
      <w:pPr>
        <w:spacing w:line="276" w:lineRule="auto"/>
        <w:jc w:val="left"/>
        <w:rPr>
          <w:rFonts w:ascii="Times New Roman" w:eastAsia="Times New Roman" w:hAnsi="Times New Roman" w:cs="Times New Roman"/>
        </w:rPr>
      </w:pPr>
    </w:p>
    <w:tbl>
      <w:tblPr>
        <w:tblW w:w="9026" w:type="dxa"/>
        <w:tblInd w:w="-100" w:type="dxa"/>
        <w:tblLayout w:type="fixed"/>
        <w:tblLook w:val="0400" w:firstRow="0" w:lastRow="0" w:firstColumn="0" w:lastColumn="0" w:noHBand="0" w:noVBand="1"/>
      </w:tblPr>
      <w:tblGrid>
        <w:gridCol w:w="988"/>
        <w:gridCol w:w="2651"/>
        <w:gridCol w:w="5387"/>
      </w:tblGrid>
      <w:tr w:rsidR="008312AA" w14:paraId="74296189" w14:textId="77777777">
        <w:tc>
          <w:tcPr>
            <w:tcW w:w="98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41119B6"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Jrk nr</w:t>
            </w:r>
          </w:p>
        </w:tc>
        <w:tc>
          <w:tcPr>
            <w:tcW w:w="265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7F145911"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Sihttase</w:t>
            </w:r>
          </w:p>
        </w:tc>
        <w:tc>
          <w:tcPr>
            <w:tcW w:w="538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4AA9EE57"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Tegelikult saavutatu</w:t>
            </w:r>
          </w:p>
        </w:tc>
      </w:tr>
      <w:tr w:rsidR="008312AA" w14:paraId="02D2BFBD" w14:textId="77777777">
        <w:tc>
          <w:tcPr>
            <w:tcW w:w="988" w:type="dxa"/>
            <w:tcBorders>
              <w:top w:val="single" w:sz="4" w:space="0" w:color="000000"/>
              <w:left w:val="single" w:sz="4" w:space="0" w:color="000000"/>
              <w:bottom w:val="single" w:sz="4" w:space="0" w:color="000000"/>
              <w:right w:val="single" w:sz="4" w:space="0" w:color="000000"/>
            </w:tcBorders>
          </w:tcPr>
          <w:p w14:paraId="728FAE1E"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651" w:type="dxa"/>
            <w:tcBorders>
              <w:top w:val="single" w:sz="4" w:space="0" w:color="000000"/>
              <w:left w:val="single" w:sz="4" w:space="0" w:color="000000"/>
              <w:bottom w:val="single" w:sz="4" w:space="0" w:color="000000"/>
              <w:right w:val="single" w:sz="4" w:space="0" w:color="000000"/>
            </w:tcBorders>
          </w:tcPr>
          <w:p w14:paraId="0D179DB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Loodud või korrastatud on vähemalt 20 avalikus kasutuses lautrikohta</w:t>
            </w:r>
          </w:p>
        </w:tc>
        <w:tc>
          <w:tcPr>
            <w:tcW w:w="5387" w:type="dxa"/>
            <w:tcBorders>
              <w:top w:val="single" w:sz="4" w:space="0" w:color="000000"/>
              <w:left w:val="single" w:sz="4" w:space="0" w:color="000000"/>
              <w:bottom w:val="single" w:sz="4" w:space="0" w:color="000000"/>
              <w:right w:val="single" w:sz="4" w:space="0" w:color="000000"/>
            </w:tcBorders>
          </w:tcPr>
          <w:p w14:paraId="5E0AA08A"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Arengustrateegia tegevussuuna 5 eesmärgi E1 sihttase ei ole täidetud. Saare maakonna sadamate arengukavasse tuuakse kõik piirkonna lautrikohad nimeliselt sisse. Selline lähenemine eeldab olemasolevat traditsioonilist lautrikohta, millel on Keskkonnaameti kooskõlastus. Lautrikoht on rajatis, millel on oma kindlad tunnused.</w:t>
            </w:r>
          </w:p>
          <w:p w14:paraId="58BDC245"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Kogukonna liikmed korrastavad lautrikohti ise ja selliselt, et ei ole tarvis ehitusluba ega Keskkonnaameti kooskõlastust. Muutunud on ka lautrikoha definitsioon, mis tekitab arusaamatust ning liigset bürokraatiat.</w:t>
            </w:r>
          </w:p>
        </w:tc>
      </w:tr>
      <w:tr w:rsidR="008312AA" w14:paraId="1F143236" w14:textId="77777777">
        <w:tc>
          <w:tcPr>
            <w:tcW w:w="988" w:type="dxa"/>
            <w:tcBorders>
              <w:top w:val="single" w:sz="4" w:space="0" w:color="000000"/>
              <w:left w:val="single" w:sz="4" w:space="0" w:color="000000"/>
              <w:bottom w:val="single" w:sz="4" w:space="0" w:color="000000"/>
              <w:right w:val="single" w:sz="4" w:space="0" w:color="000000"/>
            </w:tcBorders>
          </w:tcPr>
          <w:p w14:paraId="6A127400"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651" w:type="dxa"/>
            <w:tcBorders>
              <w:top w:val="single" w:sz="4" w:space="0" w:color="000000"/>
              <w:left w:val="single" w:sz="4" w:space="0" w:color="000000"/>
              <w:bottom w:val="single" w:sz="4" w:space="0" w:color="000000"/>
              <w:right w:val="single" w:sz="4" w:space="0" w:color="000000"/>
            </w:tcBorders>
          </w:tcPr>
          <w:p w14:paraId="60F902A3"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Saare maakonnas on kokku vähemalt kolm kalandussektori organisatsioonide ühistegevuseks mõeldud hoonet</w:t>
            </w:r>
          </w:p>
        </w:tc>
        <w:tc>
          <w:tcPr>
            <w:tcW w:w="5387" w:type="dxa"/>
            <w:tcBorders>
              <w:top w:val="single" w:sz="4" w:space="0" w:color="000000"/>
              <w:left w:val="single" w:sz="4" w:space="0" w:color="000000"/>
              <w:bottom w:val="single" w:sz="4" w:space="0" w:color="000000"/>
              <w:right w:val="single" w:sz="4" w:space="0" w:color="000000"/>
            </w:tcBorders>
          </w:tcPr>
          <w:p w14:paraId="4BE70181"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Eesmärk on täidetud, strateegia perioodil rajati/ on rajamisel neli kalandussektori organisatsioonide ühistegevuseks mõeldud hoonet</w:t>
            </w:r>
          </w:p>
          <w:p w14:paraId="783186FB"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w:t>
            </w:r>
            <w:proofErr w:type="spellStart"/>
            <w:r>
              <w:rPr>
                <w:rFonts w:ascii="Times New Roman" w:eastAsia="Times New Roman" w:hAnsi="Times New Roman" w:cs="Times New Roman"/>
                <w:highlight w:val="white"/>
              </w:rPr>
              <w:t>Atla</w:t>
            </w:r>
            <w:proofErr w:type="spellEnd"/>
            <w:r>
              <w:rPr>
                <w:rFonts w:ascii="Times New Roman" w:eastAsia="Times New Roman" w:hAnsi="Times New Roman" w:cs="Times New Roman"/>
                <w:highlight w:val="white"/>
              </w:rPr>
              <w:t xml:space="preserve"> sadamahoone, </w:t>
            </w:r>
            <w:proofErr w:type="spellStart"/>
            <w:r>
              <w:rPr>
                <w:rFonts w:ascii="Times New Roman" w:eastAsia="Times New Roman" w:hAnsi="Times New Roman" w:cs="Times New Roman"/>
                <w:highlight w:val="white"/>
              </w:rPr>
              <w:t>Muratsi</w:t>
            </w:r>
            <w:proofErr w:type="spellEnd"/>
            <w:r>
              <w:rPr>
                <w:rFonts w:ascii="Times New Roman" w:eastAsia="Times New Roman" w:hAnsi="Times New Roman" w:cs="Times New Roman"/>
                <w:highlight w:val="white"/>
              </w:rPr>
              <w:t xml:space="preserve"> sadama kogukonnahoone I etapp, Turja sadama kogukonnahoone, Kalamaja hobikalastajate hoone)</w:t>
            </w:r>
          </w:p>
        </w:tc>
      </w:tr>
      <w:tr w:rsidR="008312AA" w14:paraId="1CFC865B" w14:textId="77777777">
        <w:tc>
          <w:tcPr>
            <w:tcW w:w="988" w:type="dxa"/>
            <w:tcBorders>
              <w:top w:val="single" w:sz="4" w:space="0" w:color="000000"/>
              <w:left w:val="single" w:sz="4" w:space="0" w:color="000000"/>
              <w:bottom w:val="single" w:sz="4" w:space="0" w:color="000000"/>
              <w:right w:val="single" w:sz="4" w:space="0" w:color="000000"/>
            </w:tcBorders>
          </w:tcPr>
          <w:p w14:paraId="64D7122A"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E3</w:t>
            </w:r>
          </w:p>
        </w:tc>
        <w:tc>
          <w:tcPr>
            <w:tcW w:w="2651" w:type="dxa"/>
            <w:tcBorders>
              <w:top w:val="single" w:sz="4" w:space="0" w:color="000000"/>
              <w:left w:val="single" w:sz="4" w:space="0" w:color="000000"/>
              <w:bottom w:val="single" w:sz="4" w:space="0" w:color="000000"/>
              <w:right w:val="single" w:sz="4" w:space="0" w:color="000000"/>
            </w:tcBorders>
          </w:tcPr>
          <w:p w14:paraId="29E0B937"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Saare maakonnas toimub kokku vähemalt kolm kalandus- ja meresektorit tutvustavat sündmust aastas.</w:t>
            </w:r>
          </w:p>
          <w:p w14:paraId="2D2E324C" w14:textId="77777777" w:rsidR="008312AA" w:rsidRDefault="008312AA">
            <w:pPr>
              <w:spacing w:line="276" w:lineRule="auto"/>
              <w:jc w:val="left"/>
              <w:rPr>
                <w:rFonts w:ascii="Times New Roman" w:eastAsia="Times New Roman" w:hAnsi="Times New Roman" w:cs="Times New Roman"/>
                <w:highlight w:val="white"/>
              </w:rPr>
            </w:pPr>
          </w:p>
          <w:p w14:paraId="604C53BE" w14:textId="77777777" w:rsidR="008312AA" w:rsidRDefault="008312AA">
            <w:pPr>
              <w:spacing w:line="276" w:lineRule="auto"/>
              <w:jc w:val="left"/>
              <w:rPr>
                <w:rFonts w:ascii="Times New Roman" w:eastAsia="Times New Roman" w:hAnsi="Times New Roman" w:cs="Times New Roman"/>
                <w:highlight w:val="white"/>
              </w:rPr>
            </w:pPr>
          </w:p>
          <w:p w14:paraId="6B357A76"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Välja on antud on vähemalt 5 avalikkusele mõeldud trükist leidmaks paremini kalandussektori ettevõtjaid</w:t>
            </w:r>
          </w:p>
        </w:tc>
        <w:tc>
          <w:tcPr>
            <w:tcW w:w="5387" w:type="dxa"/>
            <w:tcBorders>
              <w:top w:val="single" w:sz="4" w:space="0" w:color="000000"/>
              <w:left w:val="single" w:sz="4" w:space="0" w:color="000000"/>
              <w:bottom w:val="single" w:sz="4" w:space="0" w:color="000000"/>
              <w:right w:val="single" w:sz="4" w:space="0" w:color="000000"/>
            </w:tcBorders>
          </w:tcPr>
          <w:p w14:paraId="7DA7E3EB"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Arengustrateegia tegevussuuna 5 eesmärgi E3 sihttase on täidetud. Kalanduspiirkonnas toimub EMKF toetuse toel vähemalt kolm kalandus- ja merendussektorit tutvustavat sündmust aastas (Väikesadamate kontserdid, </w:t>
            </w:r>
            <w:proofErr w:type="spellStart"/>
            <w:r>
              <w:rPr>
                <w:rFonts w:ascii="Times New Roman" w:eastAsia="Times New Roman" w:hAnsi="Times New Roman" w:cs="Times New Roman"/>
              </w:rPr>
              <w:t>kaluritepäev</w:t>
            </w:r>
            <w:proofErr w:type="spellEnd"/>
            <w:r>
              <w:rPr>
                <w:rFonts w:ascii="Times New Roman" w:eastAsia="Times New Roman" w:hAnsi="Times New Roman" w:cs="Times New Roman"/>
              </w:rPr>
              <w:t>, kalurijuttude õhtud “Oi need sinavad veed”, kalaõpitubade ja kogemuspäevade korraldamine täiskasvanutele, avatud sadamate päevad).</w:t>
            </w:r>
          </w:p>
          <w:p w14:paraId="2CDFB3AC"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Eesmärk on täidetud osaliselt. EMKF meetme toel on  ilmunud kohalikku rannakalandust tutvustav raamat “Meri aitab </w:t>
            </w:r>
            <w:proofErr w:type="spellStart"/>
            <w:r>
              <w:rPr>
                <w:rFonts w:ascii="Times New Roman" w:eastAsia="Times New Roman" w:hAnsi="Times New Roman" w:cs="Times New Roman"/>
              </w:rPr>
              <w:t>elada”.Valminud</w:t>
            </w:r>
            <w:proofErr w:type="spellEnd"/>
            <w:r>
              <w:rPr>
                <w:rFonts w:ascii="Times New Roman" w:eastAsia="Times New Roman" w:hAnsi="Times New Roman" w:cs="Times New Roman"/>
              </w:rPr>
              <w:t xml:space="preserve"> on 2 filmi,  mis tutvustavad Saaremaa kalanduspiirkonna ajalugu ja tänapäevaseid tegemisi.</w:t>
            </w:r>
          </w:p>
        </w:tc>
      </w:tr>
      <w:tr w:rsidR="008312AA" w14:paraId="69592419" w14:textId="77777777">
        <w:tc>
          <w:tcPr>
            <w:tcW w:w="988" w:type="dxa"/>
            <w:tcBorders>
              <w:top w:val="single" w:sz="4" w:space="0" w:color="000000"/>
              <w:left w:val="single" w:sz="4" w:space="0" w:color="000000"/>
              <w:bottom w:val="single" w:sz="4" w:space="0" w:color="000000"/>
              <w:right w:val="single" w:sz="4" w:space="0" w:color="000000"/>
            </w:tcBorders>
          </w:tcPr>
          <w:p w14:paraId="1EBB25BB"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E4</w:t>
            </w:r>
          </w:p>
        </w:tc>
        <w:tc>
          <w:tcPr>
            <w:tcW w:w="2651" w:type="dxa"/>
            <w:tcBorders>
              <w:top w:val="single" w:sz="4" w:space="0" w:color="000000"/>
              <w:left w:val="single" w:sz="4" w:space="0" w:color="000000"/>
              <w:bottom w:val="single" w:sz="4" w:space="0" w:color="000000"/>
              <w:right w:val="single" w:sz="4" w:space="0" w:color="000000"/>
            </w:tcBorders>
          </w:tcPr>
          <w:p w14:paraId="0CA33427"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Maakonnas toimub vähemalt 5 lastele ja noortele suunatud kalandus- ja meresektorit </w:t>
            </w:r>
            <w:r>
              <w:rPr>
                <w:rFonts w:ascii="Times New Roman" w:eastAsia="Times New Roman" w:hAnsi="Times New Roman" w:cs="Times New Roman"/>
                <w:highlight w:val="white"/>
              </w:rPr>
              <w:lastRenderedPageBreak/>
              <w:t>tutvustavat üritust/</w:t>
            </w:r>
            <w:proofErr w:type="spellStart"/>
            <w:r>
              <w:rPr>
                <w:rFonts w:ascii="Times New Roman" w:eastAsia="Times New Roman" w:hAnsi="Times New Roman" w:cs="Times New Roman"/>
                <w:highlight w:val="white"/>
              </w:rPr>
              <w:t>õpituba</w:t>
            </w:r>
            <w:proofErr w:type="spellEnd"/>
          </w:p>
        </w:tc>
        <w:tc>
          <w:tcPr>
            <w:tcW w:w="5387" w:type="dxa"/>
            <w:tcBorders>
              <w:top w:val="single" w:sz="4" w:space="0" w:color="000000"/>
              <w:left w:val="single" w:sz="4" w:space="0" w:color="000000"/>
              <w:bottom w:val="single" w:sz="4" w:space="0" w:color="000000"/>
              <w:right w:val="single" w:sz="4" w:space="0" w:color="000000"/>
            </w:tcBorders>
          </w:tcPr>
          <w:p w14:paraId="6C147F00"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rPr>
              <w:lastRenderedPageBreak/>
              <w:t xml:space="preserve">Arengustrateegia tegevussuuna nr 5 eesmärgi E4 sihttase on täidetud. Ellu on viidud 12 lastele ja noortele suunatud kalandus- ja merendussektorit tutvustavat projekti, mille raames korraldati erinevaid </w:t>
            </w:r>
            <w:r>
              <w:rPr>
                <w:rFonts w:ascii="Times New Roman" w:eastAsia="Times New Roman" w:hAnsi="Times New Roman" w:cs="Times New Roman"/>
              </w:rPr>
              <w:lastRenderedPageBreak/>
              <w:t>kalaõpitubasid, merendusalast õpet, laagreid, mereretki jms</w:t>
            </w:r>
          </w:p>
        </w:tc>
      </w:tr>
    </w:tbl>
    <w:p w14:paraId="1BCAD217" w14:textId="77777777" w:rsidR="008312AA" w:rsidRDefault="008312AA">
      <w:pPr>
        <w:pStyle w:val="Pealkiri3"/>
        <w:spacing w:line="276" w:lineRule="auto"/>
        <w:ind w:left="0" w:firstLine="0"/>
        <w:jc w:val="left"/>
        <w:rPr>
          <w:rFonts w:ascii="Times New Roman" w:eastAsia="Times New Roman" w:hAnsi="Times New Roman" w:cs="Times New Roman"/>
          <w:color w:val="002060"/>
        </w:rPr>
      </w:pPr>
    </w:p>
    <w:p w14:paraId="4EEA6B43" w14:textId="77777777" w:rsidR="008312AA" w:rsidRDefault="00000000">
      <w:pPr>
        <w:shd w:val="clear" w:color="auto" w:fill="A3DBFF"/>
        <w:spacing w:line="276" w:lineRule="auto"/>
        <w:jc w:val="left"/>
        <w:rPr>
          <w:rFonts w:ascii="Times New Roman" w:hAnsi="Times New Roman" w:cs="Times New Roman"/>
          <w:b/>
          <w:bCs/>
        </w:rPr>
      </w:pPr>
      <w:r>
        <w:rPr>
          <w:rFonts w:ascii="Times New Roman" w:hAnsi="Times New Roman" w:cs="Times New Roman"/>
          <w:b/>
          <w:bCs/>
        </w:rPr>
        <w:t xml:space="preserve"> Koostöö</w:t>
      </w:r>
    </w:p>
    <w:p w14:paraId="1221B7F1"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Eesmärgid:</w:t>
      </w:r>
    </w:p>
    <w:p w14:paraId="329A60C8"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E1: Saare maakonna kalanduspiirkonnas toimub aktiivne </w:t>
      </w:r>
      <w:proofErr w:type="spellStart"/>
      <w:r>
        <w:rPr>
          <w:rFonts w:ascii="Times New Roman" w:eastAsia="Times New Roman" w:hAnsi="Times New Roman" w:cs="Times New Roman"/>
        </w:rPr>
        <w:t>sektoritevaheline</w:t>
      </w:r>
      <w:proofErr w:type="spellEnd"/>
      <w:r>
        <w:rPr>
          <w:rFonts w:ascii="Times New Roman" w:eastAsia="Times New Roman" w:hAnsi="Times New Roman" w:cs="Times New Roman"/>
        </w:rPr>
        <w:t xml:space="preserve"> koostöö.</w:t>
      </w:r>
    </w:p>
    <w:p w14:paraId="677FB664"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E2: Saare maakonna kalanduspiirkond teeb aktiivset koostööd teiste algatusrühmadega Eestis ja välismaal.</w:t>
      </w:r>
    </w:p>
    <w:tbl>
      <w:tblPr>
        <w:tblW w:w="9309" w:type="dxa"/>
        <w:tblInd w:w="-100" w:type="dxa"/>
        <w:tblLayout w:type="fixed"/>
        <w:tblLook w:val="0400" w:firstRow="0" w:lastRow="0" w:firstColumn="0" w:lastColumn="0" w:noHBand="0" w:noVBand="1"/>
      </w:tblPr>
      <w:tblGrid>
        <w:gridCol w:w="987"/>
        <w:gridCol w:w="2794"/>
        <w:gridCol w:w="5528"/>
      </w:tblGrid>
      <w:tr w:rsidR="008312AA" w14:paraId="5071E092" w14:textId="77777777">
        <w:tc>
          <w:tcPr>
            <w:tcW w:w="98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984FD16"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Jrk nr</w:t>
            </w:r>
          </w:p>
        </w:tc>
        <w:tc>
          <w:tcPr>
            <w:tcW w:w="279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DEDF7E7"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Sihttase</w:t>
            </w:r>
          </w:p>
        </w:tc>
        <w:tc>
          <w:tcPr>
            <w:tcW w:w="552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5D4C3A9F" w14:textId="77777777" w:rsidR="008312AA" w:rsidRDefault="00000000">
            <w:pPr>
              <w:spacing w:line="276" w:lineRule="auto"/>
              <w:jc w:val="left"/>
              <w:rPr>
                <w:rFonts w:ascii="Times New Roman" w:eastAsia="Times New Roman" w:hAnsi="Times New Roman" w:cs="Times New Roman"/>
                <w:b/>
                <w:bCs/>
              </w:rPr>
            </w:pPr>
            <w:r>
              <w:rPr>
                <w:rFonts w:ascii="Times New Roman" w:eastAsia="Times New Roman" w:hAnsi="Times New Roman" w:cs="Times New Roman"/>
                <w:b/>
                <w:bCs/>
              </w:rPr>
              <w:t>Tegelikult saavutatu</w:t>
            </w:r>
          </w:p>
        </w:tc>
      </w:tr>
      <w:tr w:rsidR="008312AA" w14:paraId="25FADBC9" w14:textId="77777777">
        <w:tc>
          <w:tcPr>
            <w:tcW w:w="987" w:type="dxa"/>
            <w:tcBorders>
              <w:top w:val="single" w:sz="4" w:space="0" w:color="000000"/>
              <w:left w:val="single" w:sz="4" w:space="0" w:color="000000"/>
              <w:bottom w:val="single" w:sz="4" w:space="0" w:color="000000"/>
              <w:right w:val="single" w:sz="4" w:space="0" w:color="000000"/>
            </w:tcBorders>
          </w:tcPr>
          <w:p w14:paraId="3BC10FB7"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E1</w:t>
            </w:r>
          </w:p>
        </w:tc>
        <w:tc>
          <w:tcPr>
            <w:tcW w:w="2794" w:type="dxa"/>
            <w:tcBorders>
              <w:top w:val="single" w:sz="4" w:space="0" w:color="000000"/>
              <w:left w:val="single" w:sz="4" w:space="0" w:color="000000"/>
              <w:bottom w:val="single" w:sz="4" w:space="0" w:color="000000"/>
              <w:right w:val="single" w:sz="4" w:space="0" w:color="000000"/>
            </w:tcBorders>
          </w:tcPr>
          <w:p w14:paraId="7884AEAD"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Perioodi jooksul on ellu viidud vähemalt 10 </w:t>
            </w:r>
            <w:proofErr w:type="spellStart"/>
            <w:r>
              <w:rPr>
                <w:rFonts w:ascii="Times New Roman" w:eastAsia="Times New Roman" w:hAnsi="Times New Roman" w:cs="Times New Roman"/>
                <w:highlight w:val="white"/>
              </w:rPr>
              <w:t>sektoritevahelist</w:t>
            </w:r>
            <w:proofErr w:type="spellEnd"/>
            <w:r>
              <w:rPr>
                <w:rFonts w:ascii="Times New Roman" w:eastAsia="Times New Roman" w:hAnsi="Times New Roman" w:cs="Times New Roman"/>
                <w:highlight w:val="white"/>
              </w:rPr>
              <w:t xml:space="preserve"> koostööprojekti</w:t>
            </w:r>
          </w:p>
        </w:tc>
        <w:tc>
          <w:tcPr>
            <w:tcW w:w="5528" w:type="dxa"/>
            <w:tcBorders>
              <w:top w:val="single" w:sz="4" w:space="0" w:color="000000"/>
              <w:left w:val="single" w:sz="4" w:space="0" w:color="000000"/>
              <w:bottom w:val="single" w:sz="4" w:space="0" w:color="000000"/>
              <w:right w:val="single" w:sz="4" w:space="0" w:color="000000"/>
            </w:tcBorders>
          </w:tcPr>
          <w:p w14:paraId="152E22D4"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Eesmärk on täitmata. Eesmärgi püstitamine osutus arengustrateegia elluviimise käigus mittevajalikuks ja erinevate sektorite vahelisi koostööprojekte ellu ei viidud. Samuti ei ole tehtud teiste sektorite poolt koostööettepanekuid.</w:t>
            </w:r>
          </w:p>
        </w:tc>
      </w:tr>
      <w:tr w:rsidR="008312AA" w14:paraId="5A51C40D" w14:textId="77777777">
        <w:tc>
          <w:tcPr>
            <w:tcW w:w="987" w:type="dxa"/>
            <w:tcBorders>
              <w:top w:val="single" w:sz="4" w:space="0" w:color="000000"/>
              <w:left w:val="single" w:sz="4" w:space="0" w:color="000000"/>
              <w:bottom w:val="single" w:sz="4" w:space="0" w:color="000000"/>
              <w:right w:val="single" w:sz="4" w:space="0" w:color="000000"/>
            </w:tcBorders>
          </w:tcPr>
          <w:p w14:paraId="23CE6D69"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E2</w:t>
            </w:r>
          </w:p>
        </w:tc>
        <w:tc>
          <w:tcPr>
            <w:tcW w:w="2794" w:type="dxa"/>
            <w:tcBorders>
              <w:top w:val="single" w:sz="4" w:space="0" w:color="000000"/>
              <w:left w:val="single" w:sz="4" w:space="0" w:color="000000"/>
              <w:bottom w:val="single" w:sz="4" w:space="0" w:color="000000"/>
              <w:right w:val="single" w:sz="4" w:space="0" w:color="000000"/>
            </w:tcBorders>
          </w:tcPr>
          <w:p w14:paraId="4148223F" w14:textId="77777777" w:rsidR="008312AA" w:rsidRDefault="00000000">
            <w:pPr>
              <w:spacing w:line="276" w:lineRule="auto"/>
              <w:jc w:val="left"/>
              <w:rPr>
                <w:rFonts w:ascii="Times New Roman" w:eastAsia="Times New Roman" w:hAnsi="Times New Roman" w:cs="Times New Roman"/>
                <w:highlight w:val="white"/>
              </w:rPr>
            </w:pPr>
            <w:r>
              <w:rPr>
                <w:rFonts w:ascii="Times New Roman" w:eastAsia="Times New Roman" w:hAnsi="Times New Roman" w:cs="Times New Roman"/>
                <w:highlight w:val="white"/>
              </w:rPr>
              <w:t>Perioodi jooksul on ellu viidud vähemalt 10 koostööprojekti teiste algatusgruppidega</w:t>
            </w:r>
          </w:p>
        </w:tc>
        <w:tc>
          <w:tcPr>
            <w:tcW w:w="5528" w:type="dxa"/>
            <w:tcBorders>
              <w:top w:val="single" w:sz="4" w:space="0" w:color="000000"/>
              <w:left w:val="single" w:sz="4" w:space="0" w:color="000000"/>
              <w:bottom w:val="single" w:sz="4" w:space="0" w:color="000000"/>
              <w:right w:val="single" w:sz="4" w:space="0" w:color="000000"/>
            </w:tcBorders>
          </w:tcPr>
          <w:p w14:paraId="0756A135" w14:textId="77777777" w:rsidR="008312AA"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rPr>
              <w:t xml:space="preserve">Arengustrateegia koostöömeetme eesmärgi sihttase on täidetud. Perioodil 2016 - 2023. viidi ellu koostöös teiste algatusrühmadega kümme (11) koostööprojekti, mis on kaasa aidanud kalandusvaldkonna tutvustamisele piirkonnas ja andnud uusi turunduse ja kala </w:t>
            </w:r>
            <w:proofErr w:type="spellStart"/>
            <w:r>
              <w:rPr>
                <w:rFonts w:ascii="Times New Roman" w:eastAsia="Times New Roman" w:hAnsi="Times New Roman" w:cs="Times New Roman"/>
              </w:rPr>
              <w:t>väärindamise</w:t>
            </w:r>
            <w:proofErr w:type="spellEnd"/>
            <w:r>
              <w:rPr>
                <w:rFonts w:ascii="Times New Roman" w:eastAsia="Times New Roman" w:hAnsi="Times New Roman" w:cs="Times New Roman"/>
              </w:rPr>
              <w:t xml:space="preserve"> ideid kohalikele kalandusettevõtetele.</w:t>
            </w:r>
          </w:p>
          <w:p w14:paraId="21732B53" w14:textId="77777777" w:rsidR="008312AA" w:rsidRDefault="008312AA">
            <w:pPr>
              <w:spacing w:line="276" w:lineRule="auto"/>
              <w:jc w:val="left"/>
              <w:rPr>
                <w:rFonts w:ascii="Times New Roman" w:eastAsia="Times New Roman" w:hAnsi="Times New Roman" w:cs="Times New Roman"/>
                <w:highlight w:val="white"/>
              </w:rPr>
            </w:pPr>
          </w:p>
        </w:tc>
      </w:tr>
    </w:tbl>
    <w:p w14:paraId="0DDB09B5" w14:textId="77777777" w:rsidR="008312AA" w:rsidRDefault="008312AA">
      <w:pPr>
        <w:spacing w:line="276" w:lineRule="auto"/>
        <w:jc w:val="left"/>
        <w:rPr>
          <w:rFonts w:ascii="Times New Roman" w:eastAsia="Times New Roman" w:hAnsi="Times New Roman" w:cs="Times New Roman"/>
        </w:rPr>
      </w:pPr>
    </w:p>
    <w:p w14:paraId="27101635" w14:textId="77777777" w:rsidR="008312AA" w:rsidRDefault="008312AA">
      <w:pPr>
        <w:spacing w:line="276" w:lineRule="auto"/>
        <w:jc w:val="left"/>
        <w:rPr>
          <w:rFonts w:ascii="Times New Roman" w:eastAsia="Times New Roman" w:hAnsi="Times New Roman" w:cs="Times New Roman"/>
        </w:rPr>
      </w:pPr>
    </w:p>
    <w:p w14:paraId="2F30C499" w14:textId="77777777" w:rsidR="008312AA" w:rsidRDefault="008312AA">
      <w:pPr>
        <w:spacing w:line="276" w:lineRule="auto"/>
        <w:rPr>
          <w:rFonts w:ascii="Times New Roman" w:eastAsia="Times New Roman" w:hAnsi="Times New Roman" w:cs="Times New Roman"/>
        </w:rPr>
      </w:pPr>
    </w:p>
    <w:p w14:paraId="7CF2F726" w14:textId="77777777" w:rsidR="008312AA" w:rsidRDefault="008312AA">
      <w:pPr>
        <w:spacing w:line="276" w:lineRule="auto"/>
        <w:rPr>
          <w:rFonts w:ascii="Times New Roman" w:eastAsia="Times New Roman" w:hAnsi="Times New Roman" w:cs="Times New Roman"/>
        </w:rPr>
      </w:pPr>
    </w:p>
    <w:p w14:paraId="10005748" w14:textId="77777777" w:rsidR="008312AA" w:rsidRDefault="008312AA">
      <w:pPr>
        <w:spacing w:line="276" w:lineRule="auto"/>
        <w:rPr>
          <w:rFonts w:ascii="Times New Roman" w:eastAsia="Times New Roman" w:hAnsi="Times New Roman" w:cs="Times New Roman"/>
        </w:rPr>
      </w:pPr>
    </w:p>
    <w:p w14:paraId="78211CFA" w14:textId="77777777" w:rsidR="008312AA" w:rsidRDefault="008312AA">
      <w:pPr>
        <w:spacing w:line="276" w:lineRule="auto"/>
        <w:rPr>
          <w:rFonts w:ascii="Times New Roman" w:eastAsia="Times New Roman" w:hAnsi="Times New Roman" w:cs="Times New Roman"/>
        </w:rPr>
      </w:pPr>
    </w:p>
    <w:p w14:paraId="29618906" w14:textId="77777777" w:rsidR="008312AA" w:rsidRDefault="008312AA">
      <w:pPr>
        <w:spacing w:line="276" w:lineRule="auto"/>
        <w:rPr>
          <w:rFonts w:ascii="Times New Roman" w:eastAsia="Times New Roman" w:hAnsi="Times New Roman" w:cs="Times New Roman"/>
        </w:rPr>
      </w:pPr>
    </w:p>
    <w:p w14:paraId="1DD27BBB" w14:textId="77777777" w:rsidR="008312AA" w:rsidRDefault="008312AA">
      <w:pPr>
        <w:spacing w:line="276" w:lineRule="auto"/>
        <w:rPr>
          <w:rFonts w:ascii="Times New Roman" w:eastAsia="Times New Roman" w:hAnsi="Times New Roman" w:cs="Times New Roman"/>
        </w:rPr>
      </w:pPr>
    </w:p>
    <w:p w14:paraId="2EE17287" w14:textId="77777777" w:rsidR="008312AA" w:rsidRDefault="008312AA">
      <w:pPr>
        <w:spacing w:line="276" w:lineRule="auto"/>
        <w:rPr>
          <w:rFonts w:ascii="Times New Roman" w:eastAsia="Times New Roman" w:hAnsi="Times New Roman" w:cs="Times New Roman"/>
        </w:rPr>
      </w:pPr>
    </w:p>
    <w:p w14:paraId="19F3645C" w14:textId="77777777" w:rsidR="008312AA" w:rsidRDefault="008312AA">
      <w:pPr>
        <w:spacing w:after="160" w:line="276" w:lineRule="auto"/>
        <w:rPr>
          <w:rFonts w:ascii="Times New Roman" w:hAnsi="Times New Roman" w:cs="Times New Roman"/>
        </w:rPr>
      </w:pPr>
      <w:bookmarkStart w:id="130" w:name="_heading=h.sip14vz18cu3"/>
      <w:bookmarkEnd w:id="130"/>
    </w:p>
    <w:p w14:paraId="295DE38E" w14:textId="77777777" w:rsidR="008312AA" w:rsidRDefault="008312AA">
      <w:pPr>
        <w:spacing w:line="276" w:lineRule="auto"/>
        <w:rPr>
          <w:rFonts w:ascii="Times New Roman" w:hAnsi="Times New Roman" w:cs="Times New Roman"/>
        </w:rPr>
      </w:pPr>
    </w:p>
    <w:p w14:paraId="11EF9907" w14:textId="77777777" w:rsidR="008312AA" w:rsidRDefault="008312AA">
      <w:pPr>
        <w:spacing w:line="276" w:lineRule="auto"/>
        <w:rPr>
          <w:rFonts w:ascii="Times New Roman" w:hAnsi="Times New Roman" w:cs="Times New Roman"/>
        </w:rPr>
      </w:pPr>
    </w:p>
    <w:p w14:paraId="2FCE5E3C" w14:textId="77777777" w:rsidR="008312AA" w:rsidRDefault="008312AA">
      <w:pPr>
        <w:spacing w:line="276" w:lineRule="auto"/>
        <w:rPr>
          <w:rFonts w:ascii="Times New Roman" w:hAnsi="Times New Roman" w:cs="Times New Roman"/>
        </w:rPr>
      </w:pPr>
    </w:p>
    <w:sectPr w:rsidR="008312AA" w:rsidSect="005C60BB">
      <w:pgSz w:w="11906" w:h="16838"/>
      <w:pgMar w:top="1417" w:right="1417" w:bottom="1417" w:left="1417"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8FC0B" w14:textId="77777777" w:rsidR="005C60BB" w:rsidRDefault="005C60BB">
      <w:pPr>
        <w:spacing w:after="0"/>
      </w:pPr>
      <w:r>
        <w:separator/>
      </w:r>
    </w:p>
  </w:endnote>
  <w:endnote w:type="continuationSeparator" w:id="0">
    <w:p w14:paraId="26856B19" w14:textId="77777777" w:rsidR="005C60BB" w:rsidRDefault="005C60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Corbel">
    <w:panose1 w:val="020B0503020204020204"/>
    <w:charset w:val="BA"/>
    <w:family w:val="swiss"/>
    <w:pitch w:val="variable"/>
    <w:sig w:usb0="A00002EF" w:usb1="4000A44B" w:usb2="00000000" w:usb3="00000000" w:csb0="0000019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041319"/>
      <w:docPartObj>
        <w:docPartGallery w:val="Page Numbers (Bottom of Page)"/>
        <w:docPartUnique/>
      </w:docPartObj>
    </w:sdtPr>
    <w:sdtContent>
      <w:p w14:paraId="22AA7294" w14:textId="77777777" w:rsidR="008312AA" w:rsidRDefault="00000000">
        <w:pPr>
          <w:pStyle w:val="Jalus"/>
          <w:jc w:val="center"/>
        </w:pPr>
        <w:r>
          <w:fldChar w:fldCharType="begin"/>
        </w:r>
        <w:r>
          <w:instrText xml:space="preserve"> PAGE </w:instrText>
        </w:r>
        <w:r>
          <w:fldChar w:fldCharType="separate"/>
        </w:r>
        <w:r>
          <w:t>38</w:t>
        </w:r>
        <w:r>
          <w:fldChar w:fldCharType="end"/>
        </w:r>
      </w:p>
    </w:sdtContent>
  </w:sdt>
  <w:p w14:paraId="7FFA56A0" w14:textId="77777777" w:rsidR="008312AA" w:rsidRDefault="008312A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7148F" w14:textId="77777777" w:rsidR="005C60BB" w:rsidRDefault="005C60BB">
      <w:pPr>
        <w:rPr>
          <w:sz w:val="12"/>
        </w:rPr>
      </w:pPr>
      <w:r>
        <w:separator/>
      </w:r>
    </w:p>
  </w:footnote>
  <w:footnote w:type="continuationSeparator" w:id="0">
    <w:p w14:paraId="58CC4858" w14:textId="77777777" w:rsidR="005C60BB" w:rsidRDefault="005C60BB">
      <w:pPr>
        <w:rPr>
          <w:sz w:val="12"/>
        </w:rPr>
      </w:pPr>
      <w:r>
        <w:continuationSeparator/>
      </w:r>
    </w:p>
  </w:footnote>
  <w:footnote w:id="1">
    <w:p w14:paraId="0CCF3F55" w14:textId="77777777" w:rsidR="008312AA" w:rsidRDefault="00000000">
      <w:pPr>
        <w:pStyle w:val="Allmrkusetekst"/>
        <w:rPr>
          <w:rFonts w:ascii="Times New Roman" w:hAnsi="Times New Roman" w:cs="Times New Roman"/>
        </w:rPr>
      </w:pPr>
      <w:r>
        <w:rPr>
          <w:rStyle w:val="Allmrkusetekst1"/>
        </w:rPr>
        <w:footnoteRef/>
      </w:r>
      <w:hyperlink r:id="rId1">
        <w:r>
          <w:rPr>
            <w:rStyle w:val="Hperlink"/>
            <w:rFonts w:ascii="Times New Roman" w:hAnsi="Times New Roman" w:cs="Times New Roman"/>
            <w:color w:val="006BA8"/>
          </w:rPr>
          <w:t xml:space="preserve"> Regionaal- ja Põllumajandusministeerium</w:t>
        </w:r>
      </w:hyperlink>
    </w:p>
  </w:footnote>
  <w:footnote w:id="2">
    <w:p w14:paraId="05BD5B73" w14:textId="77777777" w:rsidR="008312AA" w:rsidRDefault="00000000">
      <w:pPr>
        <w:spacing w:after="0"/>
        <w:rPr>
          <w:rFonts w:ascii="Times New Roman" w:hAnsi="Times New Roman" w:cs="Times New Roman"/>
        </w:rPr>
      </w:pPr>
      <w:r>
        <w:rPr>
          <w:rStyle w:val="Allmrkusetekst1"/>
        </w:rPr>
        <w:footnoteRef/>
      </w:r>
      <w:r>
        <w:t xml:space="preserve"> </w:t>
      </w:r>
      <w:hyperlink r:id="rId2">
        <w:r>
          <w:rPr>
            <w:rFonts w:ascii="Times New Roman" w:hAnsi="Times New Roman" w:cs="Times New Roman"/>
            <w:color w:val="1155CC"/>
            <w:u w:val="single"/>
          </w:rPr>
          <w:t xml:space="preserve"> Eesti mereala planeering</w:t>
        </w:r>
      </w:hyperlink>
    </w:p>
  </w:footnote>
  <w:footnote w:id="3">
    <w:p w14:paraId="4C6A0DC3" w14:textId="77777777" w:rsidR="008312AA" w:rsidRDefault="00000000">
      <w:pPr>
        <w:spacing w:after="0"/>
        <w:rPr>
          <w:rFonts w:ascii="Times New Roman" w:hAnsi="Times New Roman" w:cs="Times New Roman"/>
        </w:rPr>
      </w:pPr>
      <w:r>
        <w:rPr>
          <w:rStyle w:val="Allmrkusetekst1"/>
        </w:rPr>
        <w:footnoteRef/>
      </w:r>
      <w:hyperlink r:id="rId3">
        <w:r>
          <w:rPr>
            <w:rFonts w:ascii="Times New Roman" w:hAnsi="Times New Roman" w:cs="Times New Roman"/>
            <w:color w:val="1155CC"/>
            <w:u w:val="single"/>
          </w:rPr>
          <w:t xml:space="preserve"> Statistikaamet</w:t>
        </w:r>
      </w:hyperlink>
    </w:p>
  </w:footnote>
  <w:footnote w:id="4">
    <w:p w14:paraId="1B9EDA84" w14:textId="77777777" w:rsidR="008312AA" w:rsidRDefault="00000000">
      <w:pPr>
        <w:spacing w:after="0"/>
        <w:rPr>
          <w:rFonts w:ascii="Times New Roman" w:hAnsi="Times New Roman" w:cs="Times New Roman"/>
          <w:sz w:val="28"/>
          <w:szCs w:val="28"/>
          <w:vertAlign w:val="superscript"/>
        </w:rPr>
      </w:pPr>
      <w:r>
        <w:rPr>
          <w:rStyle w:val="Allmrkusetekst1"/>
        </w:rPr>
        <w:footnoteRef/>
      </w:r>
      <w:r>
        <w:rPr>
          <w:rFonts w:ascii="Times New Roman" w:hAnsi="Times New Roman" w:cs="Times New Roman"/>
          <w:sz w:val="28"/>
          <w:szCs w:val="28"/>
          <w:vertAlign w:val="superscript"/>
        </w:rPr>
        <w:t xml:space="preserve"> Kalandussektori ettevõtjate suuline küsitlus</w:t>
      </w:r>
    </w:p>
  </w:footnote>
  <w:footnote w:id="5">
    <w:p w14:paraId="3831CA47"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4">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6">
    <w:p w14:paraId="6929D4D7"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5" w:anchor="item-2" w:history="1">
        <w:r>
          <w:rPr>
            <w:rFonts w:ascii="Times New Roman" w:hAnsi="Times New Roman" w:cs="Times New Roman"/>
            <w:color w:val="1155CC"/>
            <w:u w:val="single"/>
          </w:rPr>
          <w:t>PTA, Püügistatistika</w:t>
        </w:r>
      </w:hyperlink>
    </w:p>
  </w:footnote>
  <w:footnote w:id="7">
    <w:p w14:paraId="04D72E26"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6">
        <w:r>
          <w:rPr>
            <w:rFonts w:ascii="Times New Roman" w:hAnsi="Times New Roman" w:cs="Times New Roman"/>
            <w:color w:val="1155CC"/>
            <w:u w:val="single"/>
          </w:rPr>
          <w:t>Vesiviljelus Eesti merealal</w:t>
        </w:r>
      </w:hyperlink>
    </w:p>
  </w:footnote>
  <w:footnote w:id="8">
    <w:p w14:paraId="4E122CD0"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7">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9">
    <w:p w14:paraId="2A4E0C91" w14:textId="77777777" w:rsidR="008312AA" w:rsidRDefault="00000000">
      <w:pPr>
        <w:pStyle w:val="Allmrkusetekst"/>
        <w:rPr>
          <w:rFonts w:ascii="Times New Roman" w:hAnsi="Times New Roman" w:cs="Times New Roman"/>
        </w:rPr>
      </w:pPr>
      <w:r>
        <w:rPr>
          <w:rStyle w:val="Allmrkusetekst1"/>
        </w:rPr>
        <w:footnoteRef/>
      </w:r>
      <w:r>
        <w:t xml:space="preserve"> </w:t>
      </w:r>
      <w:r>
        <w:rPr>
          <w:rFonts w:ascii="Times New Roman" w:hAnsi="Times New Roman" w:cs="Times New Roman"/>
        </w:rPr>
        <w:t>MTÜ Saarte Kalandus projektitoetuse taotluste menetlemise ja hindamise kord</w:t>
      </w:r>
    </w:p>
  </w:footnote>
  <w:footnote w:id="10">
    <w:p w14:paraId="0F44EAD3" w14:textId="77777777" w:rsidR="008312AA" w:rsidRDefault="00000000">
      <w:pPr>
        <w:spacing w:after="0"/>
        <w:rPr>
          <w:rFonts w:ascii="Times New Roman" w:hAnsi="Times New Roman" w:cs="Times New Roman"/>
        </w:rPr>
      </w:pPr>
      <w:r>
        <w:rPr>
          <w:rStyle w:val="Allmrkusetekst1"/>
        </w:rPr>
        <w:footnoteRef/>
      </w:r>
      <w:hyperlink r:id="rId8">
        <w:r>
          <w:rPr>
            <w:rFonts w:ascii="Times New Roman" w:hAnsi="Times New Roman" w:cs="Times New Roman"/>
            <w:color w:val="1155CC"/>
            <w:u w:val="single"/>
          </w:rPr>
          <w:t xml:space="preserve"> </w:t>
        </w:r>
        <w:bookmarkStart w:id="7" w:name="_Hlk154129662_Copy_1"/>
        <w:r>
          <w:rPr>
            <w:rFonts w:ascii="Times New Roman" w:hAnsi="Times New Roman" w:cs="Times New Roman"/>
            <w:color w:val="1155CC"/>
            <w:u w:val="single"/>
          </w:rPr>
          <w:t>Statistikaamet</w:t>
        </w:r>
      </w:hyperlink>
      <w:bookmarkEnd w:id="7"/>
    </w:p>
  </w:footnote>
  <w:footnote w:id="11">
    <w:p w14:paraId="61F15374" w14:textId="77777777" w:rsidR="008312AA" w:rsidRDefault="00000000">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w:t>
      </w:r>
      <w:hyperlink r:id="rId9">
        <w:r>
          <w:rPr>
            <w:rFonts w:ascii="Times New Roman" w:hAnsi="Times New Roman" w:cs="Times New Roman"/>
            <w:color w:val="1155CC"/>
            <w:sz w:val="20"/>
            <w:szCs w:val="20"/>
            <w:u w:val="single"/>
          </w:rPr>
          <w:t>Saare maakonna arengustrateegia 2022-2035</w:t>
        </w:r>
      </w:hyperlink>
    </w:p>
  </w:footnote>
  <w:footnote w:id="12">
    <w:p w14:paraId="021B68D4" w14:textId="77777777" w:rsidR="008312AA" w:rsidRDefault="00000000">
      <w:pPr>
        <w:spacing w:after="0"/>
        <w:rPr>
          <w:rFonts w:ascii="Times New Roman" w:hAnsi="Times New Roman" w:cs="Times New Roman"/>
          <w:sz w:val="28"/>
          <w:szCs w:val="28"/>
          <w:vertAlign w:val="superscript"/>
        </w:rPr>
      </w:pPr>
      <w:r>
        <w:rPr>
          <w:rStyle w:val="Allmrkusetekst1"/>
        </w:rPr>
        <w:footnoteRef/>
      </w:r>
      <w:hyperlink r:id="rId10">
        <w:r>
          <w:rPr>
            <w:rFonts w:ascii="Times New Roman" w:hAnsi="Times New Roman" w:cs="Times New Roman"/>
            <w:color w:val="1155CC"/>
            <w:sz w:val="28"/>
            <w:szCs w:val="28"/>
            <w:u w:val="single"/>
            <w:vertAlign w:val="superscript"/>
          </w:rPr>
          <w:t xml:space="preserve"> Statistikaamet</w:t>
        </w:r>
      </w:hyperlink>
    </w:p>
  </w:footnote>
  <w:footnote w:id="13">
    <w:p w14:paraId="70913EC4" w14:textId="77777777" w:rsidR="008312AA" w:rsidRDefault="00000000">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w:t>
      </w:r>
      <w:hyperlink r:id="rId11">
        <w:r>
          <w:rPr>
            <w:rFonts w:ascii="Times New Roman" w:hAnsi="Times New Roman" w:cs="Times New Roman"/>
            <w:color w:val="1155CC"/>
            <w:sz w:val="20"/>
            <w:szCs w:val="20"/>
            <w:u w:val="single"/>
          </w:rPr>
          <w:t>Saare maakonna arengustrateegia 2019-2030</w:t>
        </w:r>
      </w:hyperlink>
    </w:p>
  </w:footnote>
  <w:footnote w:id="14">
    <w:p w14:paraId="0F21D66D" w14:textId="77777777" w:rsidR="008312AA" w:rsidRDefault="00000000">
      <w:pPr>
        <w:spacing w:after="0"/>
        <w:rPr>
          <w:rFonts w:ascii="Times New Roman" w:hAnsi="Times New Roman" w:cs="Times New Roman"/>
          <w:sz w:val="32"/>
          <w:szCs w:val="32"/>
          <w:vertAlign w:val="superscript"/>
        </w:rPr>
      </w:pPr>
      <w:r>
        <w:rPr>
          <w:rStyle w:val="Allmrkusetekst1"/>
        </w:rPr>
        <w:footnoteRef/>
      </w:r>
      <w:hyperlink r:id="rId12">
        <w:r>
          <w:rPr>
            <w:rFonts w:ascii="Times New Roman" w:hAnsi="Times New Roman" w:cs="Times New Roman"/>
            <w:color w:val="1155CC"/>
            <w:sz w:val="32"/>
            <w:szCs w:val="32"/>
            <w:u w:val="single"/>
            <w:vertAlign w:val="superscript"/>
          </w:rPr>
          <w:t xml:space="preserve"> Saaremaa rahvastik ja rahvastikuprognoos 2022 - 2052</w:t>
        </w:r>
      </w:hyperlink>
    </w:p>
  </w:footnote>
  <w:footnote w:id="15">
    <w:p w14:paraId="202BC953"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3">
        <w:r>
          <w:rPr>
            <w:rFonts w:ascii="Times New Roman" w:hAnsi="Times New Roman" w:cs="Times New Roman"/>
            <w:color w:val="1155CC"/>
            <w:u w:val="single"/>
          </w:rPr>
          <w:t>Saaremaa rahvastik ja rahvastikuprognoos 2022-2052</w:t>
        </w:r>
      </w:hyperlink>
    </w:p>
  </w:footnote>
  <w:footnote w:id="16">
    <w:p w14:paraId="4AD731B2"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Saaremaa valla Tugiteenuste osakonna rahvastikutoimingud</w:t>
      </w:r>
    </w:p>
  </w:footnote>
  <w:footnote w:id="17">
    <w:p w14:paraId="3C9A4A83"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4">
        <w:r>
          <w:rPr>
            <w:rFonts w:ascii="Times New Roman" w:hAnsi="Times New Roman" w:cs="Times New Roman"/>
            <w:color w:val="1155CC"/>
            <w:u w:val="single"/>
          </w:rPr>
          <w:t>Saare maakonna arengustrateegia 2022-2035</w:t>
        </w:r>
      </w:hyperlink>
    </w:p>
  </w:footnote>
  <w:footnote w:id="18">
    <w:p w14:paraId="06295D0F"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5">
        <w:r>
          <w:rPr>
            <w:rFonts w:ascii="Times New Roman" w:hAnsi="Times New Roman" w:cs="Times New Roman"/>
            <w:color w:val="1155CC"/>
            <w:u w:val="single"/>
          </w:rPr>
          <w:t>Saare maakonna arengustrateegia 2022-2035</w:t>
        </w:r>
      </w:hyperlink>
    </w:p>
  </w:footnote>
  <w:footnote w:id="19">
    <w:p w14:paraId="7BE3B747" w14:textId="77777777" w:rsidR="008312AA" w:rsidRDefault="00000000">
      <w:pPr>
        <w:spacing w:after="0"/>
        <w:rPr>
          <w:rFonts w:ascii="Times New Roman" w:hAnsi="Times New Roman" w:cs="Times New Roman"/>
        </w:rPr>
      </w:pPr>
      <w:r>
        <w:rPr>
          <w:rStyle w:val="Allmrkusetekst1"/>
        </w:rPr>
        <w:footnoteRef/>
      </w:r>
      <w:hyperlink r:id="rId16">
        <w:r>
          <w:rPr>
            <w:rFonts w:ascii="Times New Roman" w:hAnsi="Times New Roman" w:cs="Times New Roman"/>
            <w:color w:val="1155CC"/>
            <w:u w:val="single"/>
          </w:rPr>
          <w:t xml:space="preserve"> Saare maakonna arengustrateegia 2022-2035</w:t>
        </w:r>
      </w:hyperlink>
    </w:p>
  </w:footnote>
  <w:footnote w:id="20">
    <w:p w14:paraId="69FB0CC9"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7">
        <w:r>
          <w:rPr>
            <w:rFonts w:ascii="Times New Roman" w:hAnsi="Times New Roman" w:cs="Times New Roman"/>
            <w:color w:val="1155CC"/>
            <w:u w:val="single"/>
          </w:rPr>
          <w:t>Statistikaameti palgarakendus</w:t>
        </w:r>
      </w:hyperlink>
    </w:p>
  </w:footnote>
  <w:footnote w:id="21">
    <w:p w14:paraId="5F266DBC" w14:textId="77777777" w:rsidR="008312AA" w:rsidRDefault="00000000">
      <w:pPr>
        <w:spacing w:after="0"/>
        <w:rPr>
          <w:rFonts w:ascii="Times New Roman" w:hAnsi="Times New Roman" w:cs="Times New Roman"/>
          <w:sz w:val="32"/>
          <w:szCs w:val="32"/>
          <w:vertAlign w:val="superscript"/>
        </w:rPr>
      </w:pPr>
      <w:r>
        <w:rPr>
          <w:rStyle w:val="Allmrkusetekst1"/>
        </w:rPr>
        <w:footnoteRef/>
      </w:r>
      <w:r>
        <w:rPr>
          <w:rFonts w:ascii="Times New Roman" w:hAnsi="Times New Roman" w:cs="Times New Roman"/>
          <w:sz w:val="32"/>
          <w:szCs w:val="32"/>
          <w:vertAlign w:val="superscript"/>
        </w:rPr>
        <w:t xml:space="preserve"> Kalandussektori ettevõtjate suuline küsitlus</w:t>
      </w:r>
    </w:p>
  </w:footnote>
  <w:footnote w:id="22">
    <w:p w14:paraId="604CA2A8"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18">
        <w:r>
          <w:rPr>
            <w:rFonts w:ascii="Times New Roman" w:hAnsi="Times New Roman" w:cs="Times New Roman"/>
            <w:color w:val="1155CC"/>
            <w:u w:val="single"/>
          </w:rPr>
          <w:t>Statistikaamet</w:t>
        </w:r>
      </w:hyperlink>
    </w:p>
  </w:footnote>
  <w:footnote w:id="23">
    <w:p w14:paraId="7708ED4E" w14:textId="77777777" w:rsidR="008312AA" w:rsidRDefault="00000000">
      <w:pPr>
        <w:spacing w:after="0"/>
        <w:rPr>
          <w:rFonts w:ascii="Times New Roman" w:hAnsi="Times New Roman" w:cs="Times New Roman"/>
        </w:rPr>
      </w:pPr>
      <w:r>
        <w:rPr>
          <w:rStyle w:val="Allmrkusetekst1"/>
        </w:rPr>
        <w:footnoteRef/>
      </w:r>
      <w:hyperlink r:id="rId19">
        <w:r>
          <w:rPr>
            <w:rFonts w:ascii="Times New Roman" w:hAnsi="Times New Roman" w:cs="Times New Roman"/>
            <w:color w:val="1155CC"/>
            <w:u w:val="single"/>
          </w:rPr>
          <w:t xml:space="preserve"> Saare maakonna arengustrateegia 2019-2030</w:t>
        </w:r>
      </w:hyperlink>
    </w:p>
  </w:footnote>
  <w:footnote w:id="24">
    <w:p w14:paraId="2C84C738" w14:textId="77777777" w:rsidR="008312AA" w:rsidRDefault="00000000">
      <w:pPr>
        <w:spacing w:after="0"/>
        <w:rPr>
          <w:rFonts w:ascii="Times New Roman" w:hAnsi="Times New Roman" w:cs="Times New Roman"/>
          <w:vertAlign w:val="superscript"/>
        </w:rPr>
      </w:pPr>
      <w:r>
        <w:rPr>
          <w:rStyle w:val="Allmrkusetekst1"/>
        </w:rPr>
        <w:footnoteRef/>
      </w:r>
      <w:r>
        <w:rPr>
          <w:rFonts w:ascii="Times New Roman" w:hAnsi="Times New Roman" w:cs="Times New Roman"/>
          <w:vertAlign w:val="superscript"/>
        </w:rPr>
        <w:t xml:space="preserve"> </w:t>
      </w:r>
      <w:hyperlink r:id="rId20" w:anchor="ettevotluse-statistika-uldinfo" w:history="1">
        <w:r>
          <w:rPr>
            <w:rFonts w:ascii="Times New Roman" w:hAnsi="Times New Roman" w:cs="Times New Roman"/>
            <w:color w:val="1155CC"/>
            <w:u w:val="single"/>
            <w:vertAlign w:val="superscript"/>
          </w:rPr>
          <w:t>EMTA: Ettevõtluse statistika 202</w:t>
        </w:r>
      </w:hyperlink>
      <w:r>
        <w:rPr>
          <w:rFonts w:ascii="Times New Roman" w:hAnsi="Times New Roman" w:cs="Times New Roman"/>
          <w:vertAlign w:val="superscript"/>
        </w:rPr>
        <w:t>3</w:t>
      </w:r>
    </w:p>
  </w:footnote>
  <w:footnote w:id="25">
    <w:p w14:paraId="7CDB68CF" w14:textId="77777777" w:rsidR="008312AA" w:rsidRDefault="00000000">
      <w:pPr>
        <w:spacing w:after="0"/>
        <w:rPr>
          <w:rFonts w:ascii="Times New Roman" w:hAnsi="Times New Roman" w:cs="Times New Roman"/>
        </w:rPr>
      </w:pPr>
      <w:r>
        <w:rPr>
          <w:rStyle w:val="Allmrkusetekst1"/>
        </w:rPr>
        <w:footnoteRef/>
      </w:r>
      <w:hyperlink r:id="rId21">
        <w:r>
          <w:rPr>
            <w:rFonts w:ascii="Times New Roman" w:hAnsi="Times New Roman" w:cs="Times New Roman"/>
            <w:color w:val="1155CC"/>
            <w:u w:val="single"/>
          </w:rPr>
          <w:t xml:space="preserve"> Statistikaamet</w:t>
        </w:r>
      </w:hyperlink>
    </w:p>
  </w:footnote>
  <w:footnote w:id="26">
    <w:p w14:paraId="0850D99E" w14:textId="77777777" w:rsidR="008312AA" w:rsidRDefault="00000000">
      <w:pPr>
        <w:spacing w:after="0"/>
        <w:rPr>
          <w:rFonts w:ascii="Times New Roman" w:hAnsi="Times New Roman" w:cs="Times New Roman"/>
        </w:rPr>
      </w:pPr>
      <w:r>
        <w:rPr>
          <w:rStyle w:val="Allmrkusetekst1"/>
        </w:rPr>
        <w:footnoteRef/>
      </w:r>
      <w:hyperlink r:id="rId22">
        <w:r>
          <w:rPr>
            <w:rFonts w:ascii="Times New Roman" w:hAnsi="Times New Roman" w:cs="Times New Roman"/>
            <w:color w:val="1155CC"/>
            <w:u w:val="single"/>
          </w:rPr>
          <w:t xml:space="preserve"> Tööturg 2035. Tööturu tulevikusuunad ja stsenaariumid.</w:t>
        </w:r>
      </w:hyperlink>
    </w:p>
  </w:footnote>
  <w:footnote w:id="27">
    <w:p w14:paraId="20B94529" w14:textId="77777777" w:rsidR="008312AA" w:rsidRDefault="00000000">
      <w:pPr>
        <w:spacing w:after="0"/>
        <w:rPr>
          <w:rFonts w:ascii="Times New Roman" w:hAnsi="Times New Roman" w:cs="Times New Roman"/>
        </w:rPr>
      </w:pPr>
      <w:r>
        <w:rPr>
          <w:rStyle w:val="Allmrkusetekst1"/>
        </w:rPr>
        <w:footnoteRef/>
      </w:r>
      <w:hyperlink r:id="rId23">
        <w:r>
          <w:rPr>
            <w:rFonts w:ascii="Times New Roman" w:hAnsi="Times New Roman" w:cs="Times New Roman"/>
            <w:color w:val="1155CC"/>
            <w:u w:val="single"/>
          </w:rPr>
          <w:t xml:space="preserve"> Statistikaamet</w:t>
        </w:r>
      </w:hyperlink>
    </w:p>
  </w:footnote>
  <w:footnote w:id="28">
    <w:p w14:paraId="7E9F09A9"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24">
        <w:r>
          <w:rPr>
            <w:rFonts w:ascii="Times New Roman" w:hAnsi="Times New Roman" w:cs="Times New Roman"/>
            <w:color w:val="1155CC"/>
            <w:u w:val="single"/>
          </w:rPr>
          <w:t>Saare maakonna ettevõtjate rahulolu uuring</w:t>
        </w:r>
      </w:hyperlink>
    </w:p>
  </w:footnote>
  <w:footnote w:id="29">
    <w:p w14:paraId="36429B72" w14:textId="77777777" w:rsidR="008312AA" w:rsidRDefault="00000000">
      <w:pPr>
        <w:spacing w:after="0"/>
        <w:rPr>
          <w:sz w:val="20"/>
          <w:szCs w:val="20"/>
        </w:rPr>
      </w:pPr>
      <w:r>
        <w:rPr>
          <w:rStyle w:val="Allmrkusetekst1"/>
        </w:rPr>
        <w:footnoteRef/>
      </w:r>
      <w:r>
        <w:rPr>
          <w:sz w:val="20"/>
          <w:szCs w:val="20"/>
        </w:rPr>
        <w:t xml:space="preserve"> </w:t>
      </w:r>
      <w:hyperlink r:id="rId25">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30">
    <w:p w14:paraId="3452326A" w14:textId="77777777" w:rsidR="008312AA" w:rsidRDefault="00000000">
      <w:pPr>
        <w:pStyle w:val="Allmrkusetekst"/>
        <w:rPr>
          <w:rFonts w:ascii="Times New Roman" w:hAnsi="Times New Roman" w:cs="Times New Roman"/>
        </w:rPr>
      </w:pPr>
      <w:r>
        <w:rPr>
          <w:rStyle w:val="Allmrkusetekst1"/>
        </w:rPr>
        <w:footnoteRef/>
      </w:r>
      <w:r>
        <w:rPr>
          <w:rFonts w:ascii="Times New Roman" w:hAnsi="Times New Roman" w:cs="Times New Roman"/>
        </w:rPr>
        <w:t xml:space="preserve"> </w:t>
      </w:r>
      <w:hyperlink r:id="rId26">
        <w:r>
          <w:rPr>
            <w:rStyle w:val="Hperlink"/>
            <w:rFonts w:ascii="Times New Roman" w:hAnsi="Times New Roman" w:cs="Times New Roman"/>
            <w:color w:val="004F88"/>
          </w:rPr>
          <w:t>Saare maakonna arengustrateegia 2022-2035</w:t>
        </w:r>
      </w:hyperlink>
    </w:p>
  </w:footnote>
  <w:footnote w:id="31">
    <w:p w14:paraId="5064E9B8" w14:textId="77777777" w:rsidR="008312AA" w:rsidRDefault="00000000">
      <w:pPr>
        <w:pStyle w:val="Allmrkusetekst"/>
        <w:rPr>
          <w:rFonts w:ascii="Times New Roman" w:hAnsi="Times New Roman" w:cs="Times New Roman"/>
          <w:sz w:val="24"/>
          <w:szCs w:val="24"/>
        </w:rPr>
      </w:pPr>
      <w:r>
        <w:rPr>
          <w:rStyle w:val="Allmrkusetekst1"/>
        </w:rPr>
        <w:footnoteRef/>
      </w:r>
      <w:hyperlink r:id="rId27">
        <w:r>
          <w:rPr>
            <w:rStyle w:val="Hperlink"/>
            <w:rFonts w:ascii="Times New Roman" w:hAnsi="Times New Roman" w:cs="Times New Roman"/>
            <w:color w:val="0070C0"/>
            <w:sz w:val="24"/>
            <w:szCs w:val="24"/>
          </w:rPr>
          <w:t xml:space="preserve"> Saare maakonna arengustrateegia 2022-2035</w:t>
        </w:r>
      </w:hyperlink>
    </w:p>
  </w:footnote>
  <w:footnote w:id="32">
    <w:p w14:paraId="4A67102F" w14:textId="77777777" w:rsidR="008312AA" w:rsidRDefault="00000000">
      <w:pPr>
        <w:spacing w:after="0"/>
        <w:rPr>
          <w:rFonts w:ascii="Times New Roman" w:hAnsi="Times New Roman" w:cs="Times New Roman"/>
        </w:rPr>
      </w:pPr>
      <w:r>
        <w:rPr>
          <w:rStyle w:val="Allmrkusetekst1"/>
        </w:rPr>
        <w:footnoteRef/>
      </w:r>
      <w:hyperlink r:id="rId28">
        <w:r>
          <w:rPr>
            <w:rFonts w:ascii="Times New Roman" w:hAnsi="Times New Roman" w:cs="Times New Roman"/>
            <w:color w:val="1155CC"/>
            <w:u w:val="single"/>
          </w:rPr>
          <w:t xml:space="preserve"> Saare maakonna ettevõtjate rahulolu uuring</w:t>
        </w:r>
      </w:hyperlink>
    </w:p>
  </w:footnote>
  <w:footnote w:id="33">
    <w:p w14:paraId="6BB1287F" w14:textId="43D9887A" w:rsidR="00FB7C44" w:rsidRDefault="00FB7C44">
      <w:pPr>
        <w:pStyle w:val="Allmrkusetekst"/>
      </w:pPr>
      <w:r>
        <w:rPr>
          <w:rStyle w:val="Allmrkuseviide"/>
        </w:rPr>
        <w:footnoteRef/>
      </w:r>
      <w:r>
        <w:t xml:space="preserve"> </w:t>
      </w:r>
      <w:hyperlink r:id="rId29" w:history="1">
        <w:r w:rsidRPr="00FB7C44">
          <w:rPr>
            <w:rStyle w:val="Hperlink"/>
          </w:rPr>
          <w:t>Saare maakonnaplaneering 2030+</w:t>
        </w:r>
      </w:hyperlink>
    </w:p>
  </w:footnote>
  <w:footnote w:id="34">
    <w:p w14:paraId="406513B8" w14:textId="285F2D11" w:rsidR="00EA7744" w:rsidRDefault="00EA7744">
      <w:pPr>
        <w:pStyle w:val="Allmrkusetekst"/>
      </w:pPr>
      <w:r>
        <w:rPr>
          <w:rStyle w:val="Allmrkuseviide"/>
        </w:rPr>
        <w:footnoteRef/>
      </w:r>
      <w:r>
        <w:t xml:space="preserve"> </w:t>
      </w:r>
      <w:hyperlink r:id="rId30" w:history="1">
        <w:r w:rsidRPr="00EA7744">
          <w:rPr>
            <w:rStyle w:val="Hperlink"/>
          </w:rPr>
          <w:t>Saare maakonna kestliku turismi arengustrateegia 2022-2030</w:t>
        </w:r>
      </w:hyperlink>
    </w:p>
  </w:footnote>
  <w:footnote w:id="35">
    <w:p w14:paraId="6EE4BAD4" w14:textId="77777777" w:rsidR="008312AA" w:rsidRDefault="00000000">
      <w:pPr>
        <w:spacing w:after="0"/>
        <w:rPr>
          <w:rFonts w:ascii="Times New Roman" w:hAnsi="Times New Roman" w:cs="Times New Roman"/>
        </w:rPr>
      </w:pPr>
      <w:r>
        <w:rPr>
          <w:rStyle w:val="Allmrkusetekst1"/>
        </w:rPr>
        <w:footnoteRef/>
      </w:r>
      <w:hyperlink r:id="rId31">
        <w:r>
          <w:rPr>
            <w:rFonts w:ascii="Times New Roman" w:hAnsi="Times New Roman" w:cs="Times New Roman"/>
            <w:color w:val="1155CC"/>
            <w:u w:val="single"/>
          </w:rPr>
          <w:t xml:space="preserve"> Eesti mereala planeering</w:t>
        </w:r>
      </w:hyperlink>
    </w:p>
  </w:footnote>
  <w:footnote w:id="36">
    <w:p w14:paraId="57E05C76" w14:textId="77777777" w:rsidR="008312AA" w:rsidRDefault="00000000">
      <w:pPr>
        <w:pStyle w:val="Allmrkusetekst"/>
        <w:rPr>
          <w:rFonts w:ascii="Times New Roman" w:hAnsi="Times New Roman" w:cs="Times New Roman"/>
        </w:rPr>
      </w:pPr>
      <w:r>
        <w:rPr>
          <w:rStyle w:val="Allmrkusetekst1"/>
        </w:rPr>
        <w:footnoteRef/>
      </w:r>
      <w:hyperlink r:id="rId32">
        <w:r>
          <w:rPr>
            <w:rStyle w:val="Hperlink"/>
            <w:rFonts w:ascii="Times New Roman" w:hAnsi="Times New Roman" w:cs="Times New Roman"/>
            <w:color w:val="0070C0"/>
          </w:rPr>
          <w:t xml:space="preserve"> Eesti mereala keskkonnaseisund 2018</w:t>
        </w:r>
      </w:hyperlink>
    </w:p>
  </w:footnote>
  <w:footnote w:id="37">
    <w:p w14:paraId="19F88E88" w14:textId="5079EA05" w:rsidR="00EF4F48" w:rsidRDefault="00EF4F48">
      <w:pPr>
        <w:pStyle w:val="Allmrkusetekst"/>
      </w:pPr>
      <w:r>
        <w:rPr>
          <w:rStyle w:val="Allmrkuseviide"/>
        </w:rPr>
        <w:footnoteRef/>
      </w:r>
      <w:r>
        <w:t xml:space="preserve"> </w:t>
      </w:r>
      <w:hyperlink r:id="rId33" w:history="1">
        <w:r w:rsidRPr="00EF4F48">
          <w:rPr>
            <w:rStyle w:val="Hperlink"/>
          </w:rPr>
          <w:t>Saare maakonna kestliku turismi arengustrateegia 2022-2030</w:t>
        </w:r>
      </w:hyperlink>
    </w:p>
  </w:footnote>
  <w:footnote w:id="38">
    <w:p w14:paraId="060F6771" w14:textId="082B186D" w:rsidR="00536557" w:rsidRDefault="00536557">
      <w:pPr>
        <w:pStyle w:val="Allmrkusetekst"/>
      </w:pPr>
      <w:r>
        <w:rPr>
          <w:rStyle w:val="Allmrkuseviide"/>
        </w:rPr>
        <w:footnoteRef/>
      </w:r>
      <w:r>
        <w:t xml:space="preserve"> </w:t>
      </w:r>
      <w:hyperlink r:id="rId34" w:history="1">
        <w:r w:rsidRPr="00536557">
          <w:rPr>
            <w:rStyle w:val="Hperlink"/>
          </w:rPr>
          <w:t>Saare maakonnaplaneering 2030+</w:t>
        </w:r>
      </w:hyperlink>
    </w:p>
  </w:footnote>
  <w:footnote w:id="39">
    <w:p w14:paraId="708B6C46" w14:textId="0DD38272" w:rsidR="00EF4F48" w:rsidRDefault="00000000">
      <w:pPr>
        <w:pStyle w:val="Allmrkusetekst"/>
      </w:pPr>
      <w:hyperlink r:id="rId35" w:history="1">
        <w:r w:rsidR="00EF4F48" w:rsidRPr="00EF4F48">
          <w:rPr>
            <w:rStyle w:val="Hperlink"/>
            <w:vertAlign w:val="superscript"/>
          </w:rPr>
          <w:footnoteRef/>
        </w:r>
        <w:r w:rsidR="00EF4F48" w:rsidRPr="00EF4F48">
          <w:rPr>
            <w:rStyle w:val="Hperlink"/>
          </w:rPr>
          <w:t xml:space="preserve"> Saare maakonna kestliku turismi arengustrateegia 2022-2030</w:t>
        </w:r>
      </w:hyperlink>
    </w:p>
  </w:footnote>
  <w:footnote w:id="40">
    <w:p w14:paraId="55480809" w14:textId="77777777" w:rsidR="008312AA" w:rsidRDefault="00000000">
      <w:pPr>
        <w:spacing w:after="0"/>
        <w:rPr>
          <w:rFonts w:ascii="Times New Roman" w:hAnsi="Times New Roman" w:cs="Times New Roman"/>
          <w:sz w:val="32"/>
          <w:szCs w:val="32"/>
          <w:vertAlign w:val="superscript"/>
        </w:rPr>
      </w:pPr>
      <w:r>
        <w:rPr>
          <w:rStyle w:val="Allmrkusetekst1"/>
        </w:rPr>
        <w:footnoteRef/>
      </w:r>
      <w:r>
        <w:rPr>
          <w:rFonts w:ascii="Times New Roman" w:hAnsi="Times New Roman" w:cs="Times New Roman"/>
          <w:sz w:val="32"/>
          <w:szCs w:val="32"/>
          <w:vertAlign w:val="superscript"/>
        </w:rPr>
        <w:t xml:space="preserve"> </w:t>
      </w:r>
      <w:r>
        <w:rPr>
          <w:rFonts w:ascii="Times New Roman" w:hAnsi="Times New Roman" w:cs="Times New Roman"/>
          <w:color w:val="0070C0"/>
          <w:sz w:val="32"/>
          <w:szCs w:val="32"/>
          <w:vertAlign w:val="superscript"/>
        </w:rPr>
        <w:t xml:space="preserve"> </w:t>
      </w:r>
      <w:hyperlink r:id="rId36">
        <w:r>
          <w:rPr>
            <w:rStyle w:val="Hperlink"/>
            <w:rFonts w:ascii="Times New Roman" w:hAnsi="Times New Roman" w:cs="Times New Roman"/>
            <w:color w:val="0070C0"/>
            <w:sz w:val="32"/>
            <w:szCs w:val="32"/>
            <w:vertAlign w:val="superscript"/>
          </w:rPr>
          <w:t>Projekti Püügikoormuste kohandamine lõpparuanne</w:t>
        </w:r>
      </w:hyperlink>
    </w:p>
  </w:footnote>
  <w:footnote w:id="41">
    <w:p w14:paraId="4769340F"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37">
        <w:r>
          <w:rPr>
            <w:rFonts w:ascii="Times New Roman" w:hAnsi="Times New Roman" w:cs="Times New Roman"/>
            <w:color w:val="1155CC"/>
            <w:u w:val="single"/>
          </w:rPr>
          <w:t>Vesiviljelus Eesti merealal</w:t>
        </w:r>
      </w:hyperlink>
    </w:p>
  </w:footnote>
  <w:footnote w:id="42">
    <w:p w14:paraId="29FF07C8"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38">
        <w:r>
          <w:rPr>
            <w:rFonts w:ascii="Times New Roman" w:hAnsi="Times New Roman" w:cs="Times New Roman"/>
            <w:color w:val="1155CC"/>
            <w:u w:val="single"/>
          </w:rPr>
          <w:t>Saare maakonna ettevõtluskeskkonna ja selle arendamisvõimaluste analüü</w:t>
        </w:r>
      </w:hyperlink>
      <w:r>
        <w:rPr>
          <w:rFonts w:ascii="Times New Roman" w:hAnsi="Times New Roman" w:cs="Times New Roman"/>
        </w:rPr>
        <w:t>s</w:t>
      </w:r>
    </w:p>
  </w:footnote>
  <w:footnote w:id="43">
    <w:p w14:paraId="37DA3F73" w14:textId="77777777" w:rsidR="008312AA" w:rsidRDefault="00000000">
      <w:pPr>
        <w:spacing w:after="0"/>
        <w:rPr>
          <w:rFonts w:ascii="Times New Roman" w:hAnsi="Times New Roman" w:cs="Times New Roman"/>
        </w:rPr>
      </w:pPr>
      <w:r>
        <w:rPr>
          <w:rStyle w:val="Allmrkusetekst1"/>
        </w:rPr>
        <w:footnoteRef/>
      </w:r>
      <w:hyperlink r:id="rId39">
        <w:r>
          <w:rPr>
            <w:rFonts w:ascii="Times New Roman" w:hAnsi="Times New Roman" w:cs="Times New Roman"/>
            <w:color w:val="1155CC"/>
            <w:u w:val="single"/>
          </w:rPr>
          <w:t xml:space="preserve"> Avamere kalakasvatuste võimalik keskkonnamõju</w:t>
        </w:r>
      </w:hyperlink>
    </w:p>
  </w:footnote>
  <w:footnote w:id="44">
    <w:p w14:paraId="4AC0F6AB" w14:textId="77777777" w:rsidR="008312AA" w:rsidRDefault="00000000">
      <w:pPr>
        <w:spacing w:after="0"/>
        <w:rPr>
          <w:rFonts w:ascii="Times New Roman" w:hAnsi="Times New Roman" w:cs="Times New Roman"/>
          <w:vertAlign w:val="superscript"/>
        </w:rPr>
      </w:pPr>
      <w:r>
        <w:rPr>
          <w:rStyle w:val="Allmrkusetekst1"/>
        </w:rPr>
        <w:footnoteRef/>
      </w:r>
      <w:r>
        <w:rPr>
          <w:rFonts w:ascii="Times New Roman" w:hAnsi="Times New Roman" w:cs="Times New Roman"/>
          <w:vertAlign w:val="superscript"/>
        </w:rPr>
        <w:t xml:space="preserve"> </w:t>
      </w:r>
      <w:hyperlink r:id="rId40">
        <w:r>
          <w:rPr>
            <w:rFonts w:ascii="Times New Roman" w:hAnsi="Times New Roman" w:cs="Times New Roman"/>
            <w:color w:val="1155CC"/>
            <w:u w:val="single"/>
            <w:vertAlign w:val="superscript"/>
          </w:rPr>
          <w:t>https://envir.ee/elusloodus-looduskaitse/kalandus</w:t>
        </w:r>
      </w:hyperlink>
      <w:r>
        <w:rPr>
          <w:rFonts w:ascii="Times New Roman" w:hAnsi="Times New Roman" w:cs="Times New Roman"/>
          <w:vertAlign w:val="superscript"/>
        </w:rPr>
        <w:t xml:space="preserve"> </w:t>
      </w:r>
    </w:p>
  </w:footnote>
  <w:footnote w:id="45">
    <w:p w14:paraId="67C3DA6E" w14:textId="77777777" w:rsidR="008312AA" w:rsidRDefault="00000000">
      <w:pPr>
        <w:spacing w:after="0"/>
        <w:rPr>
          <w:rFonts w:ascii="Times New Roman" w:hAnsi="Times New Roman" w:cs="Times New Roman"/>
          <w:vertAlign w:val="superscript"/>
        </w:rPr>
      </w:pPr>
      <w:r>
        <w:rPr>
          <w:rStyle w:val="Allmrkusetekst1"/>
        </w:rPr>
        <w:footnoteRef/>
      </w:r>
      <w:hyperlink r:id="rId41">
        <w:r>
          <w:rPr>
            <w:rFonts w:ascii="Times New Roman" w:hAnsi="Times New Roman" w:cs="Times New Roman"/>
            <w:color w:val="1155CC"/>
            <w:u w:val="single"/>
            <w:vertAlign w:val="superscript"/>
          </w:rPr>
          <w:t xml:space="preserve"> </w:t>
        </w:r>
      </w:hyperlink>
      <w:hyperlink r:id="rId42">
        <w:r>
          <w:rPr>
            <w:rFonts w:ascii="Times New Roman" w:hAnsi="Times New Roman" w:cs="Times New Roman"/>
            <w:color w:val="1155CC"/>
            <w:u w:val="single"/>
            <w:vertAlign w:val="superscript"/>
          </w:rPr>
          <w:t>Kalavarude lühiülevaade 2019, TÜ Eesti Mereinstituut</w:t>
        </w:r>
      </w:hyperlink>
      <w:r>
        <w:rPr>
          <w:rFonts w:ascii="Times New Roman" w:hAnsi="Times New Roman" w:cs="Times New Roman"/>
          <w:vertAlign w:val="superscript"/>
        </w:rPr>
        <w:t xml:space="preserve"> lk 13</w:t>
      </w:r>
    </w:p>
  </w:footnote>
  <w:footnote w:id="46">
    <w:p w14:paraId="5F9FA5C5" w14:textId="77777777" w:rsidR="008312AA" w:rsidRDefault="00000000">
      <w:pPr>
        <w:spacing w:after="0"/>
        <w:rPr>
          <w:rFonts w:ascii="Times New Roman" w:hAnsi="Times New Roman" w:cs="Times New Roman"/>
          <w:sz w:val="32"/>
          <w:szCs w:val="32"/>
          <w:vertAlign w:val="superscript"/>
        </w:rPr>
      </w:pPr>
      <w:r>
        <w:rPr>
          <w:rStyle w:val="Allmrkusetekst1"/>
        </w:rPr>
        <w:footnoteRef/>
      </w:r>
      <w:hyperlink r:id="rId43">
        <w:r>
          <w:rPr>
            <w:rFonts w:ascii="Times New Roman" w:hAnsi="Times New Roman" w:cs="Times New Roman"/>
            <w:color w:val="1155CC"/>
            <w:sz w:val="32"/>
            <w:szCs w:val="32"/>
            <w:u w:val="single"/>
            <w:vertAlign w:val="superscript"/>
          </w:rPr>
          <w:t xml:space="preserve"> Kalavarude lühiülevaade 2019, lk 10</w:t>
        </w:r>
      </w:hyperlink>
    </w:p>
  </w:footnote>
  <w:footnote w:id="47">
    <w:p w14:paraId="0AA7616B" w14:textId="77777777" w:rsidR="008312AA" w:rsidRDefault="00000000">
      <w:pPr>
        <w:pStyle w:val="Allmrkusetekst"/>
        <w:rPr>
          <w:rFonts w:ascii="Times New Roman" w:hAnsi="Times New Roman" w:cs="Times New Roman"/>
          <w:sz w:val="22"/>
          <w:szCs w:val="22"/>
        </w:rPr>
      </w:pPr>
      <w:r>
        <w:rPr>
          <w:rStyle w:val="Allmrkusetekst1"/>
        </w:rPr>
        <w:footnoteRef/>
      </w:r>
      <w:r>
        <w:rPr>
          <w:rFonts w:ascii="Times New Roman" w:hAnsi="Times New Roman" w:cs="Times New Roman"/>
          <w:sz w:val="24"/>
          <w:szCs w:val="24"/>
        </w:rPr>
        <w:t xml:space="preserve"> </w:t>
      </w:r>
      <w:hyperlink r:id="rId44">
        <w:r>
          <w:rPr>
            <w:rFonts w:ascii="Times New Roman" w:eastAsia="Times New Roman" w:hAnsi="Times New Roman" w:cs="Times New Roman"/>
            <w:color w:val="1155CC"/>
            <w:sz w:val="22"/>
            <w:szCs w:val="22"/>
            <w:u w:val="single"/>
          </w:rPr>
          <w:t xml:space="preserve">“Development of </w:t>
        </w:r>
        <w:proofErr w:type="spellStart"/>
        <w:r>
          <w:rPr>
            <w:rFonts w:ascii="Times New Roman" w:eastAsia="Times New Roman" w:hAnsi="Times New Roman" w:cs="Times New Roman"/>
            <w:color w:val="1155CC"/>
            <w:sz w:val="22"/>
            <w:szCs w:val="22"/>
            <w:u w:val="single"/>
          </w:rPr>
          <w:t>northern</w:t>
        </w:r>
        <w:proofErr w:type="spellEnd"/>
        <w:r>
          <w:rPr>
            <w:rFonts w:ascii="Times New Roman" w:eastAsia="Times New Roman" w:hAnsi="Times New Roman" w:cs="Times New Roman"/>
            <w:color w:val="1155CC"/>
            <w:sz w:val="22"/>
            <w:szCs w:val="22"/>
            <w:u w:val="single"/>
          </w:rPr>
          <w:t xml:space="preserve"> </w:t>
        </w:r>
        <w:proofErr w:type="spellStart"/>
        <w:r>
          <w:rPr>
            <w:rFonts w:ascii="Times New Roman" w:eastAsia="Times New Roman" w:hAnsi="Times New Roman" w:cs="Times New Roman"/>
            <w:color w:val="1155CC"/>
            <w:sz w:val="22"/>
            <w:szCs w:val="22"/>
            <w:u w:val="single"/>
          </w:rPr>
          <w:t>pike</w:t>
        </w:r>
        <w:proofErr w:type="spellEnd"/>
        <w:r>
          <w:rPr>
            <w:rFonts w:ascii="Times New Roman" w:eastAsia="Times New Roman" w:hAnsi="Times New Roman" w:cs="Times New Roman"/>
            <w:color w:val="1155CC"/>
            <w:sz w:val="22"/>
            <w:szCs w:val="22"/>
            <w:u w:val="single"/>
          </w:rPr>
          <w:t xml:space="preserve"> (</w:t>
        </w:r>
        <w:proofErr w:type="spellStart"/>
        <w:r>
          <w:rPr>
            <w:rFonts w:ascii="Times New Roman" w:eastAsia="Times New Roman" w:hAnsi="Times New Roman" w:cs="Times New Roman"/>
            <w:color w:val="1155CC"/>
            <w:sz w:val="22"/>
            <w:szCs w:val="22"/>
            <w:u w:val="single"/>
          </w:rPr>
          <w:t>Esox</w:t>
        </w:r>
        <w:proofErr w:type="spellEnd"/>
        <w:r>
          <w:rPr>
            <w:rFonts w:ascii="Times New Roman" w:eastAsia="Times New Roman" w:hAnsi="Times New Roman" w:cs="Times New Roman"/>
            <w:color w:val="1155CC"/>
            <w:sz w:val="22"/>
            <w:szCs w:val="22"/>
            <w:u w:val="single"/>
          </w:rPr>
          <w:t xml:space="preserve"> </w:t>
        </w:r>
        <w:proofErr w:type="spellStart"/>
        <w:r>
          <w:rPr>
            <w:rFonts w:ascii="Times New Roman" w:eastAsia="Times New Roman" w:hAnsi="Times New Roman" w:cs="Times New Roman"/>
            <w:color w:val="1155CC"/>
            <w:sz w:val="22"/>
            <w:szCs w:val="22"/>
            <w:u w:val="single"/>
          </w:rPr>
          <w:t>lucius</w:t>
        </w:r>
        <w:proofErr w:type="spellEnd"/>
        <w:r>
          <w:rPr>
            <w:rFonts w:ascii="Times New Roman" w:eastAsia="Times New Roman" w:hAnsi="Times New Roman" w:cs="Times New Roman"/>
            <w:color w:val="1155CC"/>
            <w:sz w:val="22"/>
            <w:szCs w:val="22"/>
            <w:u w:val="single"/>
          </w:rPr>
          <w:t xml:space="preserve">) </w:t>
        </w:r>
        <w:proofErr w:type="spellStart"/>
        <w:r>
          <w:rPr>
            <w:rFonts w:ascii="Times New Roman" w:eastAsia="Times New Roman" w:hAnsi="Times New Roman" w:cs="Times New Roman"/>
            <w:color w:val="1155CC"/>
            <w:sz w:val="22"/>
            <w:szCs w:val="22"/>
            <w:u w:val="single"/>
          </w:rPr>
          <w:t>populations</w:t>
        </w:r>
        <w:proofErr w:type="spellEnd"/>
        <w:r>
          <w:rPr>
            <w:rFonts w:ascii="Times New Roman" w:eastAsia="Times New Roman" w:hAnsi="Times New Roman" w:cs="Times New Roman"/>
            <w:color w:val="1155CC"/>
            <w:sz w:val="22"/>
            <w:szCs w:val="22"/>
            <w:u w:val="single"/>
          </w:rPr>
          <w:t xml:space="preserve"> in </w:t>
        </w:r>
        <w:proofErr w:type="spellStart"/>
        <w:r>
          <w:rPr>
            <w:rFonts w:ascii="Times New Roman" w:eastAsia="Times New Roman" w:hAnsi="Times New Roman" w:cs="Times New Roman"/>
            <w:color w:val="1155CC"/>
            <w:sz w:val="22"/>
            <w:szCs w:val="22"/>
            <w:u w:val="single"/>
          </w:rPr>
          <w:t>the</w:t>
        </w:r>
        <w:proofErr w:type="spellEnd"/>
        <w:r>
          <w:rPr>
            <w:rFonts w:ascii="Times New Roman" w:eastAsia="Times New Roman" w:hAnsi="Times New Roman" w:cs="Times New Roman"/>
            <w:color w:val="1155CC"/>
            <w:sz w:val="22"/>
            <w:szCs w:val="22"/>
            <w:u w:val="single"/>
          </w:rPr>
          <w:t xml:space="preserve"> Baltic Sea, and </w:t>
        </w:r>
        <w:proofErr w:type="spellStart"/>
        <w:r>
          <w:rPr>
            <w:rFonts w:ascii="Times New Roman" w:eastAsia="Times New Roman" w:hAnsi="Times New Roman" w:cs="Times New Roman"/>
            <w:color w:val="1155CC"/>
            <w:sz w:val="22"/>
            <w:szCs w:val="22"/>
            <w:u w:val="single"/>
          </w:rPr>
          <w:t>potential</w:t>
        </w:r>
        <w:proofErr w:type="spellEnd"/>
        <w:r>
          <w:rPr>
            <w:rFonts w:ascii="Times New Roman" w:eastAsia="Times New Roman" w:hAnsi="Times New Roman" w:cs="Times New Roman"/>
            <w:color w:val="1155CC"/>
            <w:sz w:val="22"/>
            <w:szCs w:val="22"/>
            <w:u w:val="single"/>
          </w:rPr>
          <w:t xml:space="preserve"> </w:t>
        </w:r>
        <w:proofErr w:type="spellStart"/>
        <w:r>
          <w:rPr>
            <w:rFonts w:ascii="Times New Roman" w:eastAsia="Times New Roman" w:hAnsi="Times New Roman" w:cs="Times New Roman"/>
            <w:color w:val="1155CC"/>
            <w:sz w:val="22"/>
            <w:szCs w:val="22"/>
            <w:u w:val="single"/>
          </w:rPr>
          <w:t>effects</w:t>
        </w:r>
        <w:proofErr w:type="spellEnd"/>
        <w:r>
          <w:rPr>
            <w:rFonts w:ascii="Times New Roman" w:eastAsia="Times New Roman" w:hAnsi="Times New Roman" w:cs="Times New Roman"/>
            <w:color w:val="1155CC"/>
            <w:sz w:val="22"/>
            <w:szCs w:val="22"/>
            <w:u w:val="single"/>
          </w:rPr>
          <w:t xml:space="preserve"> of </w:t>
        </w:r>
        <w:proofErr w:type="spellStart"/>
        <w:r>
          <w:rPr>
            <w:rFonts w:ascii="Times New Roman" w:eastAsia="Times New Roman" w:hAnsi="Times New Roman" w:cs="Times New Roman"/>
            <w:color w:val="1155CC"/>
            <w:sz w:val="22"/>
            <w:szCs w:val="22"/>
            <w:u w:val="single"/>
          </w:rPr>
          <w:t>grey</w:t>
        </w:r>
        <w:proofErr w:type="spellEnd"/>
        <w:r>
          <w:rPr>
            <w:rFonts w:ascii="Times New Roman" w:eastAsia="Times New Roman" w:hAnsi="Times New Roman" w:cs="Times New Roman"/>
            <w:color w:val="1155CC"/>
            <w:sz w:val="22"/>
            <w:szCs w:val="22"/>
            <w:u w:val="single"/>
          </w:rPr>
          <w:t xml:space="preserve"> seal (</w:t>
        </w:r>
        <w:proofErr w:type="spellStart"/>
        <w:r>
          <w:rPr>
            <w:rFonts w:ascii="Times New Roman" w:eastAsia="Times New Roman" w:hAnsi="Times New Roman" w:cs="Times New Roman"/>
            <w:color w:val="1155CC"/>
            <w:sz w:val="22"/>
            <w:szCs w:val="22"/>
            <w:u w:val="single"/>
          </w:rPr>
          <w:t>Halichoerus</w:t>
        </w:r>
        <w:proofErr w:type="spellEnd"/>
        <w:r>
          <w:rPr>
            <w:rFonts w:ascii="Times New Roman" w:eastAsia="Times New Roman" w:hAnsi="Times New Roman" w:cs="Times New Roman"/>
            <w:color w:val="1155CC"/>
            <w:sz w:val="22"/>
            <w:szCs w:val="22"/>
            <w:u w:val="single"/>
          </w:rPr>
          <w:t xml:space="preserve"> </w:t>
        </w:r>
        <w:proofErr w:type="spellStart"/>
        <w:r>
          <w:rPr>
            <w:rFonts w:ascii="Times New Roman" w:eastAsia="Times New Roman" w:hAnsi="Times New Roman" w:cs="Times New Roman"/>
            <w:color w:val="1155CC"/>
            <w:sz w:val="22"/>
            <w:szCs w:val="22"/>
            <w:u w:val="single"/>
          </w:rPr>
          <w:t>grypus</w:t>
        </w:r>
        <w:proofErr w:type="spellEnd"/>
        <w:r>
          <w:rPr>
            <w:rFonts w:ascii="Times New Roman" w:eastAsia="Times New Roman" w:hAnsi="Times New Roman" w:cs="Times New Roman"/>
            <w:color w:val="1155CC"/>
            <w:sz w:val="22"/>
            <w:szCs w:val="22"/>
            <w:u w:val="single"/>
          </w:rPr>
          <w:t xml:space="preserve">) </w:t>
        </w:r>
        <w:proofErr w:type="spellStart"/>
        <w:r>
          <w:rPr>
            <w:rFonts w:ascii="Times New Roman" w:eastAsia="Times New Roman" w:hAnsi="Times New Roman" w:cs="Times New Roman"/>
            <w:color w:val="1155CC"/>
            <w:sz w:val="22"/>
            <w:szCs w:val="22"/>
            <w:u w:val="single"/>
          </w:rPr>
          <w:t>predation</w:t>
        </w:r>
        <w:proofErr w:type="spellEnd"/>
        <w:r>
          <w:rPr>
            <w:rFonts w:ascii="Times New Roman" w:eastAsia="Times New Roman" w:hAnsi="Times New Roman" w:cs="Times New Roman"/>
            <w:color w:val="1155CC"/>
            <w:sz w:val="22"/>
            <w:szCs w:val="22"/>
            <w:u w:val="single"/>
          </w:rPr>
          <w:t xml:space="preserve">” (Swedish University of </w:t>
        </w:r>
        <w:proofErr w:type="spellStart"/>
        <w:r>
          <w:rPr>
            <w:rFonts w:ascii="Times New Roman" w:eastAsia="Times New Roman" w:hAnsi="Times New Roman" w:cs="Times New Roman"/>
            <w:color w:val="1155CC"/>
            <w:sz w:val="22"/>
            <w:szCs w:val="22"/>
            <w:u w:val="single"/>
          </w:rPr>
          <w:t>Agricultural</w:t>
        </w:r>
        <w:proofErr w:type="spellEnd"/>
        <w:r>
          <w:rPr>
            <w:rFonts w:ascii="Times New Roman" w:eastAsia="Times New Roman" w:hAnsi="Times New Roman" w:cs="Times New Roman"/>
            <w:color w:val="1155CC"/>
            <w:sz w:val="22"/>
            <w:szCs w:val="22"/>
            <w:u w:val="single"/>
          </w:rPr>
          <w:t xml:space="preserve"> </w:t>
        </w:r>
        <w:proofErr w:type="spellStart"/>
        <w:r>
          <w:rPr>
            <w:rFonts w:ascii="Times New Roman" w:eastAsia="Times New Roman" w:hAnsi="Times New Roman" w:cs="Times New Roman"/>
            <w:color w:val="1155CC"/>
            <w:sz w:val="22"/>
            <w:szCs w:val="22"/>
            <w:u w:val="single"/>
          </w:rPr>
          <w:t>Sciences</w:t>
        </w:r>
        <w:proofErr w:type="spellEnd"/>
        <w:r>
          <w:rPr>
            <w:rFonts w:ascii="Times New Roman" w:eastAsia="Times New Roman" w:hAnsi="Times New Roman" w:cs="Times New Roman"/>
            <w:color w:val="1155CC"/>
            <w:sz w:val="22"/>
            <w:szCs w:val="22"/>
            <w:u w:val="single"/>
          </w:rPr>
          <w:t>), 2021</w:t>
        </w:r>
      </w:hyperlink>
    </w:p>
  </w:footnote>
  <w:footnote w:id="48">
    <w:p w14:paraId="5250FA18" w14:textId="77777777" w:rsidR="008312AA" w:rsidRDefault="00000000">
      <w:pPr>
        <w:spacing w:after="0"/>
        <w:rPr>
          <w:sz w:val="32"/>
          <w:szCs w:val="32"/>
          <w:vertAlign w:val="superscript"/>
        </w:rPr>
      </w:pPr>
      <w:r>
        <w:rPr>
          <w:rStyle w:val="Allmrkusetekst1"/>
        </w:rPr>
        <w:footnoteRef/>
      </w:r>
      <w:r>
        <w:rPr>
          <w:rFonts w:ascii="Times New Roman" w:hAnsi="Times New Roman" w:cs="Times New Roman"/>
          <w:vertAlign w:val="superscript"/>
        </w:rPr>
        <w:t xml:space="preserve"> </w:t>
      </w:r>
      <w:r>
        <w:rPr>
          <w:rFonts w:ascii="Times New Roman" w:hAnsi="Times New Roman" w:cs="Times New Roman"/>
          <w:sz w:val="32"/>
          <w:szCs w:val="32"/>
          <w:vertAlign w:val="superscript"/>
        </w:rPr>
        <w:t>K</w:t>
      </w:r>
      <w:hyperlink r:id="rId45">
        <w:r>
          <w:rPr>
            <w:rFonts w:ascii="Times New Roman" w:hAnsi="Times New Roman" w:cs="Times New Roman"/>
            <w:color w:val="1155CC"/>
            <w:sz w:val="32"/>
            <w:szCs w:val="32"/>
            <w:u w:val="single"/>
            <w:vertAlign w:val="superscript"/>
          </w:rPr>
          <w:t>ormoranide ja hüljeste mõju Läänemere väikekalapüügile: Üleskutse Euroopa Liidu ja riiklike otsustajate koheseks tegutsemiseks</w:t>
        </w:r>
      </w:hyperlink>
    </w:p>
  </w:footnote>
  <w:footnote w:id="49">
    <w:p w14:paraId="07975BB7" w14:textId="77777777" w:rsidR="008312AA" w:rsidRDefault="00000000">
      <w:pPr>
        <w:spacing w:after="0"/>
        <w:rPr>
          <w:rFonts w:ascii="Times New Roman" w:hAnsi="Times New Roman" w:cs="Times New Roman"/>
          <w:vertAlign w:val="superscript"/>
        </w:rPr>
      </w:pPr>
      <w:r>
        <w:rPr>
          <w:rStyle w:val="Allmrkusetekst1"/>
        </w:rPr>
        <w:footnoteRef/>
      </w:r>
      <w:r>
        <w:rPr>
          <w:rFonts w:ascii="Times New Roman" w:hAnsi="Times New Roman" w:cs="Times New Roman"/>
          <w:vertAlign w:val="superscript"/>
        </w:rPr>
        <w:t xml:space="preserve"> </w:t>
      </w:r>
      <w:hyperlink r:id="rId46">
        <w:bookmarkStart w:id="26" w:name="_Hlk154132717_Copy_1"/>
        <w:proofErr w:type="spellStart"/>
        <w:r w:rsidRPr="00103ED1">
          <w:rPr>
            <w:rFonts w:ascii="Times New Roman" w:hAnsi="Times New Roman" w:cs="Times New Roman"/>
            <w:color w:val="1155CC"/>
            <w:sz w:val="28"/>
            <w:szCs w:val="28"/>
            <w:u w:val="single"/>
            <w:vertAlign w:val="superscript"/>
          </w:rPr>
          <w:t>Effects</w:t>
        </w:r>
        <w:proofErr w:type="spellEnd"/>
        <w:r w:rsidRPr="00103ED1">
          <w:rPr>
            <w:rFonts w:ascii="Times New Roman" w:hAnsi="Times New Roman" w:cs="Times New Roman"/>
            <w:color w:val="1155CC"/>
            <w:sz w:val="28"/>
            <w:szCs w:val="28"/>
            <w:u w:val="single"/>
            <w:vertAlign w:val="superscript"/>
          </w:rPr>
          <w:t xml:space="preserve"> of </w:t>
        </w:r>
        <w:proofErr w:type="spellStart"/>
        <w:r w:rsidRPr="00103ED1">
          <w:rPr>
            <w:rFonts w:ascii="Times New Roman" w:hAnsi="Times New Roman" w:cs="Times New Roman"/>
            <w:color w:val="1155CC"/>
            <w:sz w:val="28"/>
            <w:szCs w:val="28"/>
            <w:u w:val="single"/>
            <w:vertAlign w:val="superscript"/>
          </w:rPr>
          <w:t>seals</w:t>
        </w:r>
        <w:proofErr w:type="spellEnd"/>
        <w:r w:rsidRPr="00103ED1">
          <w:rPr>
            <w:rFonts w:ascii="Times New Roman" w:hAnsi="Times New Roman" w:cs="Times New Roman"/>
            <w:color w:val="1155CC"/>
            <w:sz w:val="28"/>
            <w:szCs w:val="28"/>
            <w:u w:val="single"/>
            <w:vertAlign w:val="superscript"/>
          </w:rPr>
          <w:t xml:space="preserve"> and </w:t>
        </w:r>
        <w:proofErr w:type="spellStart"/>
        <w:r w:rsidRPr="00103ED1">
          <w:rPr>
            <w:rFonts w:ascii="Times New Roman" w:hAnsi="Times New Roman" w:cs="Times New Roman"/>
            <w:color w:val="1155CC"/>
            <w:sz w:val="28"/>
            <w:szCs w:val="28"/>
            <w:u w:val="single"/>
            <w:vertAlign w:val="superscript"/>
          </w:rPr>
          <w:t>birds</w:t>
        </w:r>
        <w:proofErr w:type="spellEnd"/>
        <w:r w:rsidRPr="00103ED1">
          <w:rPr>
            <w:rFonts w:ascii="Times New Roman" w:hAnsi="Times New Roman" w:cs="Times New Roman"/>
            <w:color w:val="1155CC"/>
            <w:sz w:val="28"/>
            <w:szCs w:val="28"/>
            <w:u w:val="single"/>
            <w:vertAlign w:val="superscript"/>
          </w:rPr>
          <w:t xml:space="preserve"> on </w:t>
        </w:r>
        <w:proofErr w:type="spellStart"/>
        <w:r w:rsidRPr="00103ED1">
          <w:rPr>
            <w:rFonts w:ascii="Times New Roman" w:hAnsi="Times New Roman" w:cs="Times New Roman"/>
            <w:color w:val="1155CC"/>
            <w:sz w:val="28"/>
            <w:szCs w:val="28"/>
            <w:u w:val="single"/>
            <w:vertAlign w:val="superscript"/>
          </w:rPr>
          <w:t>coastal</w:t>
        </w:r>
        <w:proofErr w:type="spellEnd"/>
        <w:r w:rsidRPr="00103ED1">
          <w:rPr>
            <w:rFonts w:ascii="Times New Roman" w:hAnsi="Times New Roman" w:cs="Times New Roman"/>
            <w:color w:val="1155CC"/>
            <w:sz w:val="28"/>
            <w:szCs w:val="28"/>
            <w:u w:val="single"/>
            <w:vertAlign w:val="superscript"/>
          </w:rPr>
          <w:t xml:space="preserve"> </w:t>
        </w:r>
        <w:proofErr w:type="spellStart"/>
        <w:r w:rsidRPr="00103ED1">
          <w:rPr>
            <w:rFonts w:ascii="Times New Roman" w:hAnsi="Times New Roman" w:cs="Times New Roman"/>
            <w:color w:val="1155CC"/>
            <w:sz w:val="28"/>
            <w:szCs w:val="28"/>
            <w:u w:val="single"/>
            <w:vertAlign w:val="superscript"/>
          </w:rPr>
          <w:t>fish</w:t>
        </w:r>
        <w:proofErr w:type="spellEnd"/>
        <w:r w:rsidRPr="00103ED1">
          <w:rPr>
            <w:rFonts w:ascii="Times New Roman" w:hAnsi="Times New Roman" w:cs="Times New Roman"/>
            <w:color w:val="1155CC"/>
            <w:sz w:val="28"/>
            <w:szCs w:val="28"/>
            <w:u w:val="single"/>
            <w:vertAlign w:val="superscript"/>
          </w:rPr>
          <w:t xml:space="preserve">, </w:t>
        </w:r>
        <w:proofErr w:type="spellStart"/>
        <w:r w:rsidRPr="00103ED1">
          <w:rPr>
            <w:rFonts w:ascii="Times New Roman" w:hAnsi="Times New Roman" w:cs="Times New Roman"/>
            <w:color w:val="1155CC"/>
            <w:sz w:val="28"/>
            <w:szCs w:val="28"/>
            <w:u w:val="single"/>
            <w:vertAlign w:val="superscript"/>
          </w:rPr>
          <w:t>Helcom</w:t>
        </w:r>
        <w:proofErr w:type="spellEnd"/>
        <w:r w:rsidRPr="00103ED1">
          <w:rPr>
            <w:rFonts w:ascii="Times New Roman" w:hAnsi="Times New Roman" w:cs="Times New Roman"/>
            <w:color w:val="1155CC"/>
            <w:sz w:val="28"/>
            <w:szCs w:val="28"/>
            <w:u w:val="single"/>
            <w:vertAlign w:val="superscript"/>
          </w:rPr>
          <w:t xml:space="preserve"> Fish Pro 2021-03-24</w:t>
        </w:r>
      </w:hyperlink>
      <w:bookmarkEnd w:id="26"/>
    </w:p>
  </w:footnote>
  <w:footnote w:id="50">
    <w:p w14:paraId="54A62BA9" w14:textId="77777777" w:rsidR="008312AA" w:rsidRDefault="00000000">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w:t>
      </w:r>
      <w:hyperlink r:id="rId47">
        <w:r>
          <w:rPr>
            <w:rFonts w:ascii="Times New Roman" w:hAnsi="Times New Roman" w:cs="Times New Roman"/>
            <w:color w:val="1155CC"/>
            <w:sz w:val="20"/>
            <w:szCs w:val="20"/>
            <w:u w:val="single"/>
          </w:rPr>
          <w:t>Põllumajanduse, kalanduse, maaelu ja toiduainetetööstuse ülevaade 2022</w:t>
        </w:r>
      </w:hyperlink>
    </w:p>
    <w:p w14:paraId="05E5C45F" w14:textId="77777777" w:rsidR="008312AA" w:rsidRDefault="008312AA">
      <w:pPr>
        <w:spacing w:after="0"/>
        <w:rPr>
          <w:rFonts w:ascii="Times New Roman" w:hAnsi="Times New Roman" w:cs="Times New Roman"/>
          <w:sz w:val="20"/>
          <w:szCs w:val="20"/>
        </w:rPr>
      </w:pPr>
    </w:p>
  </w:footnote>
  <w:footnote w:id="51">
    <w:p w14:paraId="5AAB190C" w14:textId="77777777" w:rsidR="008312AA" w:rsidRDefault="00000000">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w:t>
      </w:r>
      <w:hyperlink r:id="rId48" w:anchor="item-2" w:history="1">
        <w:r>
          <w:rPr>
            <w:rFonts w:ascii="Times New Roman" w:hAnsi="Times New Roman" w:cs="Times New Roman"/>
            <w:color w:val="1155CC"/>
            <w:sz w:val="20"/>
            <w:szCs w:val="20"/>
            <w:u w:val="single"/>
          </w:rPr>
          <w:t>PTA, Püügistatistika</w:t>
        </w:r>
      </w:hyperlink>
    </w:p>
  </w:footnote>
  <w:footnote w:id="52">
    <w:p w14:paraId="75FC10CB" w14:textId="51146D47" w:rsidR="00AE1458" w:rsidRDefault="00000000">
      <w:pPr>
        <w:pStyle w:val="Allmrkusetekst"/>
      </w:pPr>
      <w:hyperlink r:id="rId49" w:history="1">
        <w:r w:rsidR="00AE1458" w:rsidRPr="00B72D5D">
          <w:rPr>
            <w:rStyle w:val="Hperlink"/>
            <w:vertAlign w:val="superscript"/>
          </w:rPr>
          <w:footnoteRef/>
        </w:r>
        <w:r w:rsidR="00AE1458" w:rsidRPr="00B72D5D">
          <w:rPr>
            <w:rStyle w:val="Hperlink"/>
          </w:rPr>
          <w:t xml:space="preserve"> Saare maakonna kestliku turismi arengustrateegia 2022-2030</w:t>
        </w:r>
      </w:hyperlink>
    </w:p>
  </w:footnote>
  <w:footnote w:id="53">
    <w:p w14:paraId="1B0D90CD" w14:textId="413552E9" w:rsidR="00B72D5D" w:rsidRDefault="00000000">
      <w:pPr>
        <w:pStyle w:val="Allmrkusetekst"/>
      </w:pPr>
      <w:hyperlink r:id="rId50" w:history="1">
        <w:r w:rsidR="00B72D5D" w:rsidRPr="00B72D5D">
          <w:rPr>
            <w:rStyle w:val="Hperlink"/>
            <w:vertAlign w:val="superscript"/>
          </w:rPr>
          <w:footnoteRef/>
        </w:r>
        <w:r w:rsidR="00B72D5D" w:rsidRPr="00B72D5D">
          <w:rPr>
            <w:rStyle w:val="Hperlink"/>
          </w:rPr>
          <w:t xml:space="preserve"> Saare maakonna kestliku turismi arengustrateegia 2022-2030</w:t>
        </w:r>
      </w:hyperlink>
    </w:p>
  </w:footnote>
  <w:footnote w:id="54">
    <w:p w14:paraId="70ECC576" w14:textId="77777777" w:rsidR="008312AA" w:rsidRDefault="00000000">
      <w:pPr>
        <w:pStyle w:val="Allmrkusetekst"/>
        <w:rPr>
          <w:rFonts w:ascii="Times New Roman" w:hAnsi="Times New Roman" w:cs="Times New Roman"/>
          <w:color w:val="227ACB"/>
        </w:rPr>
      </w:pPr>
      <w:r>
        <w:rPr>
          <w:rStyle w:val="Allmrkusetekst1"/>
        </w:rPr>
        <w:footnoteRef/>
      </w:r>
      <w:r>
        <w:rPr>
          <w:rFonts w:ascii="Times New Roman" w:hAnsi="Times New Roman" w:cs="Times New Roman"/>
          <w:color w:val="227ACB"/>
        </w:rPr>
        <w:t xml:space="preserve"> </w:t>
      </w:r>
      <w:hyperlink r:id="rId51">
        <w:r>
          <w:rPr>
            <w:rStyle w:val="Hperlink"/>
            <w:rFonts w:ascii="Times New Roman" w:hAnsi="Times New Roman" w:cs="Times New Roman"/>
            <w:color w:val="227ACB"/>
          </w:rPr>
          <w:t>Põllumajandus- ja Toiduamet. Kalalaevade riikliku registri seis 1. 01. 2023</w:t>
        </w:r>
      </w:hyperlink>
    </w:p>
  </w:footnote>
  <w:footnote w:id="55">
    <w:p w14:paraId="4660337B" w14:textId="77777777" w:rsidR="008312AA" w:rsidRDefault="00000000">
      <w:pPr>
        <w:pStyle w:val="Allmrkusetekst"/>
      </w:pPr>
      <w:r>
        <w:rPr>
          <w:rStyle w:val="Allmrkusetekst1"/>
        </w:rPr>
        <w:footnoteRef/>
      </w:r>
      <w:hyperlink r:id="rId52" w:anchor="item-6" w:history="1">
        <w:r>
          <w:rPr>
            <w:rStyle w:val="Hperlink"/>
          </w:rPr>
          <w:t>Põllumajandus- ja Toiduamet: püügistatistika</w:t>
        </w:r>
      </w:hyperlink>
    </w:p>
  </w:footnote>
  <w:footnote w:id="56">
    <w:p w14:paraId="73A3DA02" w14:textId="77777777" w:rsidR="008312AA" w:rsidRDefault="00000000">
      <w:pPr>
        <w:spacing w:after="0"/>
        <w:rPr>
          <w:rFonts w:ascii="Times New Roman" w:hAnsi="Times New Roman" w:cs="Times New Roman"/>
        </w:rPr>
      </w:pPr>
      <w:r>
        <w:rPr>
          <w:rStyle w:val="Allmrkusetekst1"/>
        </w:rPr>
        <w:footnoteRef/>
      </w:r>
      <w:hyperlink r:id="rId53" w:anchor="/toitKaitlemisettevotedparing?query=%257B%2522filter%2522%253A%257B%2522pohiKaitlemisvaldkonnad%2522%253A%255B11225%255D%252C%2522maakonnaEhak%2522%253A%255B%25220074%2522%255D%257D%252C%2522sort%2522%253A%257B%2522asc%2522%253Atrue%252C%2522fieldName%2522%253A%2522kaitlejaNimi%252CtegevuskohaNimi%2522%257D%252C%2522pagination%2522%253A%257B%2522page%2522%253A1%252C%2522pageSize%2522%253A50%252C%2522rowCount%2522%253A0%252C%2522ellipsisSize%2522%253A3%257D%257D" w:history="1">
        <w:r>
          <w:rPr>
            <w:rFonts w:ascii="Times New Roman" w:hAnsi="Times New Roman" w:cs="Times New Roman"/>
            <w:color w:val="1155CC"/>
            <w:u w:val="single"/>
          </w:rPr>
          <w:t xml:space="preserve"> </w:t>
        </w:r>
      </w:hyperlink>
      <w:r>
        <w:rPr>
          <w:rFonts w:ascii="Times New Roman" w:hAnsi="Times New Roman" w:cs="Times New Roman"/>
          <w:color w:val="1155CC"/>
          <w:u w:val="single"/>
        </w:rPr>
        <w:t>PTA järelevalve infosüsteem (JVIS)</w:t>
      </w:r>
    </w:p>
  </w:footnote>
  <w:footnote w:id="57">
    <w:p w14:paraId="6FEF873E"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Ettevõtete majandusaasta aruanded ja </w:t>
      </w:r>
      <w:hyperlink r:id="rId54">
        <w:r>
          <w:rPr>
            <w:rStyle w:val="Hperlink"/>
            <w:rFonts w:ascii="Times New Roman" w:hAnsi="Times New Roman" w:cs="Times New Roman"/>
            <w:color w:val="0070C0"/>
          </w:rPr>
          <w:t>www.teatmik.ee</w:t>
        </w:r>
      </w:hyperlink>
      <w:r>
        <w:rPr>
          <w:rFonts w:ascii="Times New Roman" w:hAnsi="Times New Roman" w:cs="Times New Roman"/>
          <w:color w:val="0070C0"/>
        </w:rPr>
        <w:t xml:space="preserve">  </w:t>
      </w:r>
      <w:r>
        <w:rPr>
          <w:rFonts w:ascii="Times New Roman" w:hAnsi="Times New Roman" w:cs="Times New Roman"/>
        </w:rPr>
        <w:t>seireandmed</w:t>
      </w:r>
    </w:p>
  </w:footnote>
  <w:footnote w:id="58">
    <w:p w14:paraId="532453ED"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Ettevõtete kodulehed</w:t>
      </w:r>
    </w:p>
  </w:footnote>
  <w:footnote w:id="59">
    <w:p w14:paraId="33B4956C"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w:t>
      </w:r>
      <w:hyperlink r:id="rId55">
        <w:r>
          <w:rPr>
            <w:rFonts w:ascii="Times New Roman" w:hAnsi="Times New Roman" w:cs="Times New Roman"/>
            <w:color w:val="1155CC"/>
            <w:u w:val="single"/>
          </w:rPr>
          <w:t>Kala ja kalatoodete tarbimise uuring</w:t>
        </w:r>
      </w:hyperlink>
    </w:p>
  </w:footnote>
  <w:footnote w:id="60">
    <w:p w14:paraId="31D52069" w14:textId="77777777" w:rsidR="008312AA" w:rsidRDefault="00000000">
      <w:pPr>
        <w:spacing w:after="0"/>
        <w:rPr>
          <w:sz w:val="20"/>
          <w:szCs w:val="20"/>
        </w:rPr>
      </w:pPr>
      <w:r>
        <w:rPr>
          <w:rStyle w:val="Allmrkusetekst1"/>
        </w:rPr>
        <w:footnoteRef/>
      </w:r>
      <w:r>
        <w:rPr>
          <w:sz w:val="20"/>
          <w:szCs w:val="20"/>
        </w:rPr>
        <w:t xml:space="preserve"> </w:t>
      </w:r>
      <w:hyperlink r:id="rId56">
        <w:r>
          <w:rPr>
            <w:color w:val="1155CC"/>
            <w:sz w:val="20"/>
            <w:szCs w:val="20"/>
            <w:u w:val="single"/>
          </w:rPr>
          <w:t>Perioodi 2021-2027 kogukonna juhitud kohaliku arengu toetus § 28 lg4, §30 lg 11,14</w:t>
        </w:r>
      </w:hyperlink>
    </w:p>
  </w:footnote>
  <w:footnote w:id="61">
    <w:p w14:paraId="58491D42" w14:textId="77777777" w:rsidR="008312AA" w:rsidRDefault="00000000">
      <w:pPr>
        <w:spacing w:after="0"/>
        <w:rPr>
          <w:sz w:val="20"/>
          <w:szCs w:val="20"/>
        </w:rPr>
      </w:pPr>
      <w:r>
        <w:rPr>
          <w:rStyle w:val="Allmrkusetekst1"/>
        </w:rPr>
        <w:footnoteRef/>
      </w:r>
      <w:r>
        <w:rPr>
          <w:sz w:val="20"/>
          <w:szCs w:val="20"/>
        </w:rPr>
        <w:t xml:space="preserve"> </w:t>
      </w:r>
      <w:hyperlink r:id="rId57">
        <w:r>
          <w:rPr>
            <w:color w:val="1155CC"/>
            <w:sz w:val="20"/>
            <w:szCs w:val="20"/>
            <w:u w:val="single"/>
          </w:rPr>
          <w:t>Perioodi 2021-2027 kogukonna juhitud kohaliku arengu toetus § 28 lg4, §30 lg 11,14</w:t>
        </w:r>
      </w:hyperlink>
    </w:p>
  </w:footnote>
  <w:footnote w:id="62">
    <w:p w14:paraId="07F440E6" w14:textId="77777777" w:rsidR="008312AA" w:rsidRDefault="00000000">
      <w:pPr>
        <w:pStyle w:val="Allmrkusetekst"/>
      </w:pPr>
      <w:r>
        <w:rPr>
          <w:rStyle w:val="Allmrkusetekst1"/>
        </w:rPr>
        <w:footnoteRef/>
      </w:r>
      <w:r>
        <w:t xml:space="preserve"> Vt strateegia lisa 4 „Strateegia sadamate nimistu“</w:t>
      </w:r>
    </w:p>
  </w:footnote>
  <w:footnote w:id="63">
    <w:p w14:paraId="406A7BD1" w14:textId="77777777" w:rsidR="008312AA" w:rsidRDefault="00000000">
      <w:pPr>
        <w:spacing w:after="0"/>
        <w:rPr>
          <w:sz w:val="20"/>
          <w:szCs w:val="20"/>
        </w:rPr>
      </w:pPr>
      <w:r>
        <w:rPr>
          <w:rStyle w:val="Allmrkusetekst1"/>
        </w:rPr>
        <w:footnoteRef/>
      </w:r>
      <w:r>
        <w:rPr>
          <w:sz w:val="20"/>
          <w:szCs w:val="20"/>
        </w:rPr>
        <w:t xml:space="preserve"> </w:t>
      </w:r>
      <w:hyperlink r:id="rId58">
        <w:r>
          <w:rPr>
            <w:color w:val="1155CC"/>
            <w:sz w:val="20"/>
            <w:szCs w:val="20"/>
            <w:u w:val="single"/>
          </w:rPr>
          <w:t>Perioodi 2021-2027 kogukonna juhitud kohaliku arengu toetus § 28 lg4, §30 lg 11,14</w:t>
        </w:r>
      </w:hyperlink>
    </w:p>
  </w:footnote>
  <w:footnote w:id="64">
    <w:p w14:paraId="236F9499" w14:textId="2B2C1D0C" w:rsidR="00F540EA" w:rsidRDefault="00000000">
      <w:pPr>
        <w:pStyle w:val="Allmrkusetekst"/>
      </w:pPr>
      <w:hyperlink r:id="rId59" w:history="1">
        <w:r w:rsidR="00F540EA" w:rsidRPr="00F540EA">
          <w:rPr>
            <w:rStyle w:val="Hperlink"/>
            <w:vertAlign w:val="superscript"/>
          </w:rPr>
          <w:footnoteRef/>
        </w:r>
        <w:r w:rsidR="00F540EA" w:rsidRPr="00F540EA">
          <w:rPr>
            <w:rStyle w:val="Hperlink"/>
          </w:rPr>
          <w:t xml:space="preserve"> Saare maakonna kestliku turismi arengustrateegia 2022-2030</w:t>
        </w:r>
      </w:hyperlink>
    </w:p>
  </w:footnote>
  <w:footnote w:id="65">
    <w:p w14:paraId="501CC69C" w14:textId="77777777" w:rsidR="008312AA" w:rsidRDefault="00000000">
      <w:pPr>
        <w:pStyle w:val="Allmrkusetekst"/>
        <w:rPr>
          <w:rFonts w:ascii="Times New Roman" w:hAnsi="Times New Roman" w:cs="Times New Roman"/>
        </w:rPr>
      </w:pPr>
      <w:r>
        <w:rPr>
          <w:rStyle w:val="Allmrkusetekst1"/>
        </w:rPr>
        <w:footnoteRef/>
      </w:r>
      <w:r>
        <w:rPr>
          <w:rFonts w:ascii="Times New Roman" w:hAnsi="Times New Roman" w:cs="Times New Roman"/>
        </w:rPr>
        <w:t xml:space="preserve"> Koosolekutel osalenute nimekirjad on kättesaadavad ühingu büroos</w:t>
      </w:r>
    </w:p>
  </w:footnote>
  <w:footnote w:id="66">
    <w:p w14:paraId="7AFC25A9" w14:textId="77777777" w:rsidR="008312AA" w:rsidRDefault="00000000">
      <w:pPr>
        <w:spacing w:after="0"/>
        <w:rPr>
          <w:rFonts w:ascii="Times New Roman" w:hAnsi="Times New Roman" w:cs="Times New Roman"/>
        </w:rPr>
      </w:pPr>
      <w:r>
        <w:rPr>
          <w:rStyle w:val="Allmrkusetekst1"/>
        </w:rPr>
        <w:footnoteRef/>
      </w:r>
      <w:r>
        <w:rPr>
          <w:rFonts w:ascii="Times New Roman" w:hAnsi="Times New Roman" w:cs="Times New Roman"/>
        </w:rPr>
        <w:t xml:space="preserve"> Meetme 3.3. vabadest vahenditest eraldati algatusrühma eelarvesse 2023. a sügisel 57 000 €</w:t>
      </w:r>
    </w:p>
  </w:footnote>
  <w:footnote w:id="67">
    <w:p w14:paraId="363DC02D" w14:textId="77777777" w:rsidR="008312AA" w:rsidRDefault="00000000">
      <w:pPr>
        <w:spacing w:after="0"/>
        <w:rPr>
          <w:rFonts w:ascii="Times New Roman" w:hAnsi="Times New Roman" w:cs="Times New Roman"/>
          <w:sz w:val="32"/>
          <w:szCs w:val="32"/>
          <w:vertAlign w:val="superscript"/>
        </w:rPr>
      </w:pPr>
      <w:r>
        <w:rPr>
          <w:rStyle w:val="Allmrkusetekst1"/>
        </w:rPr>
        <w:footnoteRef/>
      </w:r>
      <w:r>
        <w:rPr>
          <w:rFonts w:ascii="Times New Roman" w:hAnsi="Times New Roman" w:cs="Times New Roman"/>
          <w:sz w:val="32"/>
          <w:szCs w:val="32"/>
          <w:vertAlign w:val="superscript"/>
        </w:rPr>
        <w:t xml:space="preserve"> Meetme 3.3. summale lisati maaeluministri 23. 10. 2019. a käskkirjaga  nr 158 eraldatud 36 961,14 €. ja 21. 05. 2021. üldkoosoleku otsusega nr 2 meetmest 3.4. veel 240 000 €  (kokku 3.3. meetme eelarve oli peale rahaeraldusi 3 763 601,76 €).</w:t>
      </w:r>
    </w:p>
    <w:p w14:paraId="7A025AE2" w14:textId="77777777" w:rsidR="008312AA" w:rsidRDefault="008312AA">
      <w:pPr>
        <w:spacing w:after="0"/>
        <w:rPr>
          <w:sz w:val="20"/>
          <w:szCs w:val="20"/>
          <w:vertAlign w:val="superscript"/>
        </w:rPr>
      </w:pPr>
    </w:p>
  </w:footnote>
  <w:footnote w:id="68">
    <w:p w14:paraId="47657674" w14:textId="77777777" w:rsidR="008312AA" w:rsidRDefault="00000000">
      <w:pPr>
        <w:spacing w:after="0"/>
        <w:rPr>
          <w:rFonts w:ascii="Times New Roman" w:hAnsi="Times New Roman" w:cs="Times New Roman"/>
          <w:sz w:val="20"/>
          <w:szCs w:val="20"/>
        </w:rPr>
      </w:pPr>
      <w:r>
        <w:rPr>
          <w:rStyle w:val="Allmrkusetekst1"/>
        </w:rPr>
        <w:footnoteRef/>
      </w:r>
      <w:r>
        <w:rPr>
          <w:rFonts w:ascii="Times New Roman" w:hAnsi="Times New Roman" w:cs="Times New Roman"/>
          <w:sz w:val="20"/>
          <w:szCs w:val="20"/>
        </w:rPr>
        <w:t xml:space="preserve"> 2023. a detsembri seisuga on osa projekte alles pooleli ja väljamakstud toetuse summasid uuendatakse jooksvalt vastavalt PRIA statistikale.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9181F" w14:textId="2B7979C8" w:rsidR="007B7723" w:rsidRDefault="007B7723" w:rsidP="007B7723">
    <w:pPr>
      <w:pStyle w:val="Pis"/>
      <w:jc w:val="right"/>
    </w:pPr>
    <w:r>
      <w:t>Lõppversiooni EELNÕU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4615" w14:textId="77777777" w:rsidR="008312AA" w:rsidRDefault="008312AA">
    <w:pPr>
      <w:pStyle w:val="Pi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D70"/>
    <w:multiLevelType w:val="multilevel"/>
    <w:tmpl w:val="725A627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66C10AE"/>
    <w:multiLevelType w:val="multilevel"/>
    <w:tmpl w:val="42DE8CE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2B7584"/>
    <w:multiLevelType w:val="hybridMultilevel"/>
    <w:tmpl w:val="55E8286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9FB2357"/>
    <w:multiLevelType w:val="multilevel"/>
    <w:tmpl w:val="03EA924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490215"/>
    <w:multiLevelType w:val="multilevel"/>
    <w:tmpl w:val="277AC7E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1C31980"/>
    <w:multiLevelType w:val="multilevel"/>
    <w:tmpl w:val="D716F3F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50A661F"/>
    <w:multiLevelType w:val="multilevel"/>
    <w:tmpl w:val="EB0CB8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5B214F1"/>
    <w:multiLevelType w:val="multilevel"/>
    <w:tmpl w:val="16B8F55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95C02D9"/>
    <w:multiLevelType w:val="multilevel"/>
    <w:tmpl w:val="EE061B7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BB06CE7"/>
    <w:multiLevelType w:val="multilevel"/>
    <w:tmpl w:val="3DDA1F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F6474D7"/>
    <w:multiLevelType w:val="multilevel"/>
    <w:tmpl w:val="7944AFC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20BD1E0D"/>
    <w:multiLevelType w:val="hybridMultilevel"/>
    <w:tmpl w:val="6F4C131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7EA6A05"/>
    <w:multiLevelType w:val="multilevel"/>
    <w:tmpl w:val="4594CA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2B4060C2"/>
    <w:multiLevelType w:val="hybridMultilevel"/>
    <w:tmpl w:val="7646C43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154311A"/>
    <w:multiLevelType w:val="multilevel"/>
    <w:tmpl w:val="FD80B2E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2081041"/>
    <w:multiLevelType w:val="multilevel"/>
    <w:tmpl w:val="5DAAA0B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3D47DCB"/>
    <w:multiLevelType w:val="multilevel"/>
    <w:tmpl w:val="4C525B4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37D762B3"/>
    <w:multiLevelType w:val="multilevel"/>
    <w:tmpl w:val="7D245C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7BD656F"/>
    <w:multiLevelType w:val="multilevel"/>
    <w:tmpl w:val="5A1650B4"/>
    <w:lvl w:ilvl="0">
      <w:start w:val="1"/>
      <w:numFmt w:val="bullet"/>
      <w:lvlText w:val=""/>
      <w:lvlJc w:val="left"/>
      <w:pPr>
        <w:tabs>
          <w:tab w:val="num" w:pos="0"/>
        </w:tabs>
        <w:ind w:left="750" w:hanging="360"/>
      </w:pPr>
      <w:rPr>
        <w:rFonts w:ascii="Wingdings" w:hAnsi="Wingdings" w:cs="Wingdings" w:hint="default"/>
      </w:rPr>
    </w:lvl>
    <w:lvl w:ilvl="1">
      <w:start w:val="1"/>
      <w:numFmt w:val="bullet"/>
      <w:lvlText w:val="o"/>
      <w:lvlJc w:val="left"/>
      <w:pPr>
        <w:tabs>
          <w:tab w:val="num" w:pos="0"/>
        </w:tabs>
        <w:ind w:left="1470" w:hanging="360"/>
      </w:pPr>
      <w:rPr>
        <w:rFonts w:ascii="Courier New" w:hAnsi="Courier New" w:cs="Courier New" w:hint="default"/>
      </w:rPr>
    </w:lvl>
    <w:lvl w:ilvl="2">
      <w:start w:val="1"/>
      <w:numFmt w:val="bullet"/>
      <w:lvlText w:val=""/>
      <w:lvlJc w:val="left"/>
      <w:pPr>
        <w:tabs>
          <w:tab w:val="num" w:pos="0"/>
        </w:tabs>
        <w:ind w:left="2190" w:hanging="360"/>
      </w:pPr>
      <w:rPr>
        <w:rFonts w:ascii="Wingdings" w:hAnsi="Wingdings" w:cs="Wingdings" w:hint="default"/>
      </w:rPr>
    </w:lvl>
    <w:lvl w:ilvl="3">
      <w:start w:val="1"/>
      <w:numFmt w:val="bullet"/>
      <w:lvlText w:val=""/>
      <w:lvlJc w:val="left"/>
      <w:pPr>
        <w:tabs>
          <w:tab w:val="num" w:pos="0"/>
        </w:tabs>
        <w:ind w:left="2910" w:hanging="360"/>
      </w:pPr>
      <w:rPr>
        <w:rFonts w:ascii="Symbol" w:hAnsi="Symbol" w:cs="Symbol" w:hint="default"/>
      </w:rPr>
    </w:lvl>
    <w:lvl w:ilvl="4">
      <w:start w:val="1"/>
      <w:numFmt w:val="bullet"/>
      <w:lvlText w:val="o"/>
      <w:lvlJc w:val="left"/>
      <w:pPr>
        <w:tabs>
          <w:tab w:val="num" w:pos="0"/>
        </w:tabs>
        <w:ind w:left="3630" w:hanging="360"/>
      </w:pPr>
      <w:rPr>
        <w:rFonts w:ascii="Courier New" w:hAnsi="Courier New" w:cs="Courier New" w:hint="default"/>
      </w:rPr>
    </w:lvl>
    <w:lvl w:ilvl="5">
      <w:start w:val="1"/>
      <w:numFmt w:val="bullet"/>
      <w:lvlText w:val=""/>
      <w:lvlJc w:val="left"/>
      <w:pPr>
        <w:tabs>
          <w:tab w:val="num" w:pos="0"/>
        </w:tabs>
        <w:ind w:left="4350" w:hanging="360"/>
      </w:pPr>
      <w:rPr>
        <w:rFonts w:ascii="Wingdings" w:hAnsi="Wingdings" w:cs="Wingdings" w:hint="default"/>
      </w:rPr>
    </w:lvl>
    <w:lvl w:ilvl="6">
      <w:start w:val="1"/>
      <w:numFmt w:val="bullet"/>
      <w:lvlText w:val=""/>
      <w:lvlJc w:val="left"/>
      <w:pPr>
        <w:tabs>
          <w:tab w:val="num" w:pos="0"/>
        </w:tabs>
        <w:ind w:left="5070" w:hanging="360"/>
      </w:pPr>
      <w:rPr>
        <w:rFonts w:ascii="Symbol" w:hAnsi="Symbol" w:cs="Symbol" w:hint="default"/>
      </w:rPr>
    </w:lvl>
    <w:lvl w:ilvl="7">
      <w:start w:val="1"/>
      <w:numFmt w:val="bullet"/>
      <w:lvlText w:val="o"/>
      <w:lvlJc w:val="left"/>
      <w:pPr>
        <w:tabs>
          <w:tab w:val="num" w:pos="0"/>
        </w:tabs>
        <w:ind w:left="5790" w:hanging="360"/>
      </w:pPr>
      <w:rPr>
        <w:rFonts w:ascii="Courier New" w:hAnsi="Courier New" w:cs="Courier New" w:hint="default"/>
      </w:rPr>
    </w:lvl>
    <w:lvl w:ilvl="8">
      <w:start w:val="1"/>
      <w:numFmt w:val="bullet"/>
      <w:lvlText w:val=""/>
      <w:lvlJc w:val="left"/>
      <w:pPr>
        <w:tabs>
          <w:tab w:val="num" w:pos="0"/>
        </w:tabs>
        <w:ind w:left="6510" w:hanging="360"/>
      </w:pPr>
      <w:rPr>
        <w:rFonts w:ascii="Wingdings" w:hAnsi="Wingdings" w:cs="Wingdings" w:hint="default"/>
      </w:rPr>
    </w:lvl>
  </w:abstractNum>
  <w:abstractNum w:abstractNumId="19" w15:restartNumberingAfterBreak="0">
    <w:nsid w:val="48900A6D"/>
    <w:multiLevelType w:val="multilevel"/>
    <w:tmpl w:val="625A7558"/>
    <w:lvl w:ilvl="0">
      <w:start w:val="1"/>
      <w:numFmt w:val="bullet"/>
      <w:lvlText w:val=""/>
      <w:lvlJc w:val="left"/>
      <w:pPr>
        <w:tabs>
          <w:tab w:val="num" w:pos="0"/>
        </w:tabs>
        <w:ind w:left="780" w:hanging="360"/>
      </w:pPr>
      <w:rPr>
        <w:rFonts w:ascii="Wingdings" w:hAnsi="Wingdings" w:cs="Wingding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20" w15:restartNumberingAfterBreak="0">
    <w:nsid w:val="493121C5"/>
    <w:multiLevelType w:val="multilevel"/>
    <w:tmpl w:val="5FE2EE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49632A30"/>
    <w:multiLevelType w:val="multilevel"/>
    <w:tmpl w:val="449ECD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4BDC6CE4"/>
    <w:multiLevelType w:val="hybridMultilevel"/>
    <w:tmpl w:val="C8B08062"/>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E1D6F50"/>
    <w:multiLevelType w:val="hybridMultilevel"/>
    <w:tmpl w:val="13BEB198"/>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F6C2070"/>
    <w:multiLevelType w:val="hybridMultilevel"/>
    <w:tmpl w:val="39A0323E"/>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28C10BD"/>
    <w:multiLevelType w:val="multilevel"/>
    <w:tmpl w:val="A58C930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56D73B10"/>
    <w:multiLevelType w:val="multilevel"/>
    <w:tmpl w:val="36245B0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57A94822"/>
    <w:multiLevelType w:val="multilevel"/>
    <w:tmpl w:val="FAD20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4B30076"/>
    <w:multiLevelType w:val="multilevel"/>
    <w:tmpl w:val="DB444B0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9" w15:restartNumberingAfterBreak="0">
    <w:nsid w:val="6AA2234A"/>
    <w:multiLevelType w:val="hybridMultilevel"/>
    <w:tmpl w:val="D910BB90"/>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ACE1D4A"/>
    <w:multiLevelType w:val="multilevel"/>
    <w:tmpl w:val="A686FB2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6D70379C"/>
    <w:multiLevelType w:val="multilevel"/>
    <w:tmpl w:val="1152F6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6EA3202A"/>
    <w:multiLevelType w:val="multilevel"/>
    <w:tmpl w:val="4FEEF63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77943198"/>
    <w:multiLevelType w:val="multilevel"/>
    <w:tmpl w:val="8E8647EE"/>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4" w15:restartNumberingAfterBreak="0">
    <w:nsid w:val="7DFB6C45"/>
    <w:multiLevelType w:val="multilevel"/>
    <w:tmpl w:val="E34C581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7E5D022C"/>
    <w:multiLevelType w:val="multilevel"/>
    <w:tmpl w:val="17F6B3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848254869">
    <w:abstractNumId w:val="7"/>
  </w:num>
  <w:num w:numId="2" w16cid:durableId="1241258708">
    <w:abstractNumId w:val="16"/>
  </w:num>
  <w:num w:numId="3" w16cid:durableId="893464630">
    <w:abstractNumId w:val="3"/>
  </w:num>
  <w:num w:numId="4" w16cid:durableId="1944456995">
    <w:abstractNumId w:val="1"/>
  </w:num>
  <w:num w:numId="5" w16cid:durableId="33122687">
    <w:abstractNumId w:val="32"/>
  </w:num>
  <w:num w:numId="6" w16cid:durableId="1664315817">
    <w:abstractNumId w:val="9"/>
  </w:num>
  <w:num w:numId="7" w16cid:durableId="69620446">
    <w:abstractNumId w:val="6"/>
  </w:num>
  <w:num w:numId="8" w16cid:durableId="90319931">
    <w:abstractNumId w:val="34"/>
  </w:num>
  <w:num w:numId="9" w16cid:durableId="1399353838">
    <w:abstractNumId w:val="8"/>
  </w:num>
  <w:num w:numId="10" w16cid:durableId="1177767012">
    <w:abstractNumId w:val="31"/>
  </w:num>
  <w:num w:numId="11" w16cid:durableId="754665546">
    <w:abstractNumId w:val="19"/>
  </w:num>
  <w:num w:numId="12" w16cid:durableId="1553151835">
    <w:abstractNumId w:val="25"/>
  </w:num>
  <w:num w:numId="13" w16cid:durableId="732847701">
    <w:abstractNumId w:val="17"/>
  </w:num>
  <w:num w:numId="14" w16cid:durableId="102389229">
    <w:abstractNumId w:val="26"/>
  </w:num>
  <w:num w:numId="15" w16cid:durableId="1781031178">
    <w:abstractNumId w:val="10"/>
  </w:num>
  <w:num w:numId="16" w16cid:durableId="771516786">
    <w:abstractNumId w:val="18"/>
  </w:num>
  <w:num w:numId="17" w16cid:durableId="990869114">
    <w:abstractNumId w:val="33"/>
  </w:num>
  <w:num w:numId="18" w16cid:durableId="1506747359">
    <w:abstractNumId w:val="27"/>
  </w:num>
  <w:num w:numId="19" w16cid:durableId="938102232">
    <w:abstractNumId w:val="30"/>
  </w:num>
  <w:num w:numId="20" w16cid:durableId="1682777409">
    <w:abstractNumId w:val="35"/>
  </w:num>
  <w:num w:numId="21" w16cid:durableId="306320698">
    <w:abstractNumId w:val="28"/>
  </w:num>
  <w:num w:numId="22" w16cid:durableId="1158418737">
    <w:abstractNumId w:val="12"/>
  </w:num>
  <w:num w:numId="23" w16cid:durableId="471794297">
    <w:abstractNumId w:val="5"/>
  </w:num>
  <w:num w:numId="24" w16cid:durableId="1273436739">
    <w:abstractNumId w:val="20"/>
  </w:num>
  <w:num w:numId="25" w16cid:durableId="208996511">
    <w:abstractNumId w:val="0"/>
  </w:num>
  <w:num w:numId="26" w16cid:durableId="501622940">
    <w:abstractNumId w:val="4"/>
  </w:num>
  <w:num w:numId="27" w16cid:durableId="1690837751">
    <w:abstractNumId w:val="15"/>
  </w:num>
  <w:num w:numId="28" w16cid:durableId="1634142719">
    <w:abstractNumId w:val="14"/>
  </w:num>
  <w:num w:numId="29" w16cid:durableId="996765890">
    <w:abstractNumId w:val="21"/>
  </w:num>
  <w:num w:numId="30" w16cid:durableId="1955556046">
    <w:abstractNumId w:val="27"/>
    <w:lvlOverride w:ilvl="0">
      <w:startOverride w:val="1"/>
    </w:lvlOverride>
  </w:num>
  <w:num w:numId="31" w16cid:durableId="1620604735">
    <w:abstractNumId w:val="2"/>
  </w:num>
  <w:num w:numId="32" w16cid:durableId="765805490">
    <w:abstractNumId w:val="24"/>
  </w:num>
  <w:num w:numId="33" w16cid:durableId="265040269">
    <w:abstractNumId w:val="11"/>
  </w:num>
  <w:num w:numId="34" w16cid:durableId="322468069">
    <w:abstractNumId w:val="22"/>
  </w:num>
  <w:num w:numId="35" w16cid:durableId="439304814">
    <w:abstractNumId w:val="13"/>
  </w:num>
  <w:num w:numId="36" w16cid:durableId="1054236039">
    <w:abstractNumId w:val="23"/>
  </w:num>
  <w:num w:numId="37" w16cid:durableId="31125935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2AA"/>
    <w:rsid w:val="000008D8"/>
    <w:rsid w:val="000040CD"/>
    <w:rsid w:val="000114B4"/>
    <w:rsid w:val="00031915"/>
    <w:rsid w:val="00054A83"/>
    <w:rsid w:val="00057ECA"/>
    <w:rsid w:val="000C6BD1"/>
    <w:rsid w:val="000D142E"/>
    <w:rsid w:val="00103ED1"/>
    <w:rsid w:val="00105B68"/>
    <w:rsid w:val="001256AC"/>
    <w:rsid w:val="00170558"/>
    <w:rsid w:val="001A62D2"/>
    <w:rsid w:val="001C276A"/>
    <w:rsid w:val="001C7524"/>
    <w:rsid w:val="001D4A1C"/>
    <w:rsid w:val="001F7A90"/>
    <w:rsid w:val="002A0295"/>
    <w:rsid w:val="002A649F"/>
    <w:rsid w:val="002D4864"/>
    <w:rsid w:val="003141C5"/>
    <w:rsid w:val="003D09AF"/>
    <w:rsid w:val="003E3F5C"/>
    <w:rsid w:val="004221F0"/>
    <w:rsid w:val="00422C7E"/>
    <w:rsid w:val="00433181"/>
    <w:rsid w:val="00460A2E"/>
    <w:rsid w:val="00464746"/>
    <w:rsid w:val="004B37EE"/>
    <w:rsid w:val="004C4A73"/>
    <w:rsid w:val="004E3ADC"/>
    <w:rsid w:val="004E74BA"/>
    <w:rsid w:val="00500191"/>
    <w:rsid w:val="00536557"/>
    <w:rsid w:val="00541032"/>
    <w:rsid w:val="00552EA7"/>
    <w:rsid w:val="005C60BB"/>
    <w:rsid w:val="005D1620"/>
    <w:rsid w:val="00604BCC"/>
    <w:rsid w:val="0061360B"/>
    <w:rsid w:val="00620F58"/>
    <w:rsid w:val="006253E2"/>
    <w:rsid w:val="006B6C8A"/>
    <w:rsid w:val="006C117C"/>
    <w:rsid w:val="006D287A"/>
    <w:rsid w:val="007002F6"/>
    <w:rsid w:val="007654E5"/>
    <w:rsid w:val="00775E64"/>
    <w:rsid w:val="007B7723"/>
    <w:rsid w:val="007C6F09"/>
    <w:rsid w:val="00804144"/>
    <w:rsid w:val="008165E0"/>
    <w:rsid w:val="008312AA"/>
    <w:rsid w:val="00893A5A"/>
    <w:rsid w:val="009160AF"/>
    <w:rsid w:val="009573CA"/>
    <w:rsid w:val="009D295A"/>
    <w:rsid w:val="009D53B4"/>
    <w:rsid w:val="00A71082"/>
    <w:rsid w:val="00AB289A"/>
    <w:rsid w:val="00AC6F6C"/>
    <w:rsid w:val="00AE1458"/>
    <w:rsid w:val="00AE148E"/>
    <w:rsid w:val="00B411B4"/>
    <w:rsid w:val="00B42464"/>
    <w:rsid w:val="00B72D5D"/>
    <w:rsid w:val="00B77987"/>
    <w:rsid w:val="00B82820"/>
    <w:rsid w:val="00B9108F"/>
    <w:rsid w:val="00BA314C"/>
    <w:rsid w:val="00BA383F"/>
    <w:rsid w:val="00C313E2"/>
    <w:rsid w:val="00C40A24"/>
    <w:rsid w:val="00C41C62"/>
    <w:rsid w:val="00C453DE"/>
    <w:rsid w:val="00C5781B"/>
    <w:rsid w:val="00C67FE5"/>
    <w:rsid w:val="00CB43F1"/>
    <w:rsid w:val="00CF3F10"/>
    <w:rsid w:val="00D94AEB"/>
    <w:rsid w:val="00DA3BAA"/>
    <w:rsid w:val="00DB48AC"/>
    <w:rsid w:val="00E13414"/>
    <w:rsid w:val="00E3093D"/>
    <w:rsid w:val="00E35D84"/>
    <w:rsid w:val="00E51F0F"/>
    <w:rsid w:val="00EA7744"/>
    <w:rsid w:val="00EF4F48"/>
    <w:rsid w:val="00EF5FA5"/>
    <w:rsid w:val="00F540EA"/>
    <w:rsid w:val="00FB27C3"/>
    <w:rsid w:val="00FB7C44"/>
    <w:rsid w:val="00FD01DF"/>
    <w:rsid w:val="00FE232F"/>
    <w:rsid w:val="00FF4F70"/>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2DBED"/>
  <w15:docId w15:val="{A95752C2-5BAA-4CB6-857B-87271779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47598"/>
    <w:pPr>
      <w:spacing w:after="120"/>
      <w:jc w:val="both"/>
    </w:pPr>
    <w:rPr>
      <w:rFonts w:ascii="Corbel" w:eastAsia="Corbel" w:hAnsi="Corbel" w:cs="Corbel"/>
      <w:kern w:val="0"/>
      <w:sz w:val="24"/>
      <w:szCs w:val="24"/>
      <w:lang w:eastAsia="et-EE"/>
      <w14:ligatures w14:val="none"/>
    </w:rPr>
  </w:style>
  <w:style w:type="paragraph" w:styleId="Pealkiri1">
    <w:name w:val="heading 1"/>
    <w:basedOn w:val="Normaallaad"/>
    <w:next w:val="Normaallaad"/>
    <w:link w:val="Pealkiri1Mrk"/>
    <w:uiPriority w:val="9"/>
    <w:qFormat/>
    <w:rsid w:val="00B47598"/>
    <w:pPr>
      <w:keepNext/>
      <w:keepLines/>
      <w:spacing w:before="240" w:after="0"/>
      <w:ind w:left="2229" w:hanging="432"/>
      <w:outlineLvl w:val="0"/>
    </w:pPr>
    <w:rPr>
      <w:color w:val="1186C2"/>
      <w:sz w:val="32"/>
      <w:szCs w:val="32"/>
    </w:rPr>
  </w:style>
  <w:style w:type="paragraph" w:styleId="Pealkiri2">
    <w:name w:val="heading 2"/>
    <w:basedOn w:val="Normaallaad"/>
    <w:next w:val="Normaallaad"/>
    <w:link w:val="Pealkiri2Mrk"/>
    <w:uiPriority w:val="9"/>
    <w:unhideWhenUsed/>
    <w:qFormat/>
    <w:rsid w:val="00B47598"/>
    <w:pPr>
      <w:keepNext/>
      <w:keepLines/>
      <w:spacing w:before="40" w:after="0"/>
      <w:ind w:left="2373" w:hanging="576"/>
      <w:outlineLvl w:val="1"/>
    </w:pPr>
    <w:rPr>
      <w:color w:val="1186C2"/>
      <w:sz w:val="26"/>
      <w:szCs w:val="26"/>
    </w:rPr>
  </w:style>
  <w:style w:type="paragraph" w:styleId="Pealkiri3">
    <w:name w:val="heading 3"/>
    <w:basedOn w:val="Normaallaad"/>
    <w:next w:val="Normaallaad"/>
    <w:link w:val="Pealkiri3Mrk"/>
    <w:uiPriority w:val="9"/>
    <w:unhideWhenUsed/>
    <w:qFormat/>
    <w:rsid w:val="00B47598"/>
    <w:pPr>
      <w:keepNext/>
      <w:keepLines/>
      <w:ind w:left="2517" w:hanging="720"/>
      <w:outlineLvl w:val="2"/>
    </w:pPr>
    <w:rPr>
      <w:color w:val="0B5981"/>
    </w:rPr>
  </w:style>
  <w:style w:type="paragraph" w:styleId="Pealkiri4">
    <w:name w:val="heading 4"/>
    <w:basedOn w:val="Normaallaad"/>
    <w:next w:val="Normaallaad"/>
    <w:link w:val="Pealkiri4Mrk"/>
    <w:uiPriority w:val="9"/>
    <w:semiHidden/>
    <w:unhideWhenUsed/>
    <w:qFormat/>
    <w:rsid w:val="00B47598"/>
    <w:pPr>
      <w:keepNext/>
      <w:keepLines/>
      <w:spacing w:before="40" w:after="0"/>
      <w:ind w:left="2661" w:hanging="864"/>
      <w:outlineLvl w:val="3"/>
    </w:pPr>
    <w:rPr>
      <w:i/>
      <w:color w:val="1186C2"/>
    </w:rPr>
  </w:style>
  <w:style w:type="paragraph" w:styleId="Pealkiri5">
    <w:name w:val="heading 5"/>
    <w:basedOn w:val="Normaallaad"/>
    <w:next w:val="Normaallaad"/>
    <w:link w:val="Pealkiri5Mrk"/>
    <w:uiPriority w:val="9"/>
    <w:semiHidden/>
    <w:unhideWhenUsed/>
    <w:qFormat/>
    <w:rsid w:val="00B47598"/>
    <w:pPr>
      <w:keepNext/>
      <w:keepLines/>
      <w:spacing w:before="40" w:after="0"/>
      <w:ind w:left="2805" w:hanging="1008"/>
      <w:outlineLvl w:val="4"/>
    </w:pPr>
    <w:rPr>
      <w:color w:val="1186C2"/>
    </w:rPr>
  </w:style>
  <w:style w:type="paragraph" w:styleId="Pealkiri6">
    <w:name w:val="heading 6"/>
    <w:basedOn w:val="Normaallaad"/>
    <w:next w:val="Normaallaad"/>
    <w:link w:val="Pealkiri6Mrk"/>
    <w:uiPriority w:val="9"/>
    <w:semiHidden/>
    <w:unhideWhenUsed/>
    <w:qFormat/>
    <w:rsid w:val="00B47598"/>
    <w:pPr>
      <w:keepNext/>
      <w:keepLines/>
      <w:spacing w:before="40" w:after="0"/>
      <w:ind w:left="2949" w:hanging="1152"/>
      <w:outlineLvl w:val="5"/>
    </w:pPr>
    <w:rPr>
      <w:color w:val="0B598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qFormat/>
    <w:rsid w:val="00B47598"/>
    <w:rPr>
      <w:rFonts w:ascii="Corbel" w:eastAsia="Corbel" w:hAnsi="Corbel" w:cs="Corbel"/>
      <w:color w:val="1186C2"/>
      <w:kern w:val="0"/>
      <w:sz w:val="32"/>
      <w:szCs w:val="32"/>
      <w:lang w:eastAsia="et-EE"/>
      <w14:ligatures w14:val="none"/>
    </w:rPr>
  </w:style>
  <w:style w:type="character" w:customStyle="1" w:styleId="Pealkiri2Mrk">
    <w:name w:val="Pealkiri 2 Märk"/>
    <w:basedOn w:val="Liguvaikefont"/>
    <w:link w:val="Pealkiri2"/>
    <w:uiPriority w:val="9"/>
    <w:qFormat/>
    <w:rsid w:val="00B47598"/>
    <w:rPr>
      <w:rFonts w:ascii="Corbel" w:eastAsia="Corbel" w:hAnsi="Corbel" w:cs="Corbel"/>
      <w:color w:val="1186C2"/>
      <w:kern w:val="0"/>
      <w:sz w:val="26"/>
      <w:szCs w:val="26"/>
      <w:lang w:eastAsia="et-EE"/>
      <w14:ligatures w14:val="none"/>
    </w:rPr>
  </w:style>
  <w:style w:type="character" w:customStyle="1" w:styleId="Pealkiri3Mrk">
    <w:name w:val="Pealkiri 3 Märk"/>
    <w:basedOn w:val="Liguvaikefont"/>
    <w:link w:val="Pealkiri3"/>
    <w:uiPriority w:val="9"/>
    <w:qFormat/>
    <w:rsid w:val="00B47598"/>
    <w:rPr>
      <w:rFonts w:ascii="Corbel" w:eastAsia="Corbel" w:hAnsi="Corbel" w:cs="Corbel"/>
      <w:color w:val="0B5981"/>
      <w:kern w:val="0"/>
      <w:sz w:val="24"/>
      <w:szCs w:val="24"/>
      <w:lang w:eastAsia="et-EE"/>
      <w14:ligatures w14:val="none"/>
    </w:rPr>
  </w:style>
  <w:style w:type="character" w:customStyle="1" w:styleId="Pealkiri4Mrk">
    <w:name w:val="Pealkiri 4 Märk"/>
    <w:basedOn w:val="Liguvaikefont"/>
    <w:link w:val="Pealkiri4"/>
    <w:uiPriority w:val="9"/>
    <w:semiHidden/>
    <w:qFormat/>
    <w:rsid w:val="00B47598"/>
    <w:rPr>
      <w:rFonts w:ascii="Corbel" w:eastAsia="Corbel" w:hAnsi="Corbel" w:cs="Corbel"/>
      <w:i/>
      <w:color w:val="1186C2"/>
      <w:kern w:val="0"/>
      <w:sz w:val="24"/>
      <w:szCs w:val="24"/>
      <w:lang w:eastAsia="et-EE"/>
      <w14:ligatures w14:val="none"/>
    </w:rPr>
  </w:style>
  <w:style w:type="character" w:customStyle="1" w:styleId="Pealkiri5Mrk">
    <w:name w:val="Pealkiri 5 Märk"/>
    <w:basedOn w:val="Liguvaikefont"/>
    <w:link w:val="Pealkiri5"/>
    <w:uiPriority w:val="9"/>
    <w:semiHidden/>
    <w:qFormat/>
    <w:rsid w:val="00B47598"/>
    <w:rPr>
      <w:rFonts w:ascii="Corbel" w:eastAsia="Corbel" w:hAnsi="Corbel" w:cs="Corbel"/>
      <w:color w:val="1186C2"/>
      <w:kern w:val="0"/>
      <w:sz w:val="24"/>
      <w:szCs w:val="24"/>
      <w:lang w:eastAsia="et-EE"/>
      <w14:ligatures w14:val="none"/>
    </w:rPr>
  </w:style>
  <w:style w:type="character" w:customStyle="1" w:styleId="Pealkiri6Mrk">
    <w:name w:val="Pealkiri 6 Märk"/>
    <w:basedOn w:val="Liguvaikefont"/>
    <w:link w:val="Pealkiri6"/>
    <w:uiPriority w:val="9"/>
    <w:semiHidden/>
    <w:qFormat/>
    <w:rsid w:val="00B47598"/>
    <w:rPr>
      <w:rFonts w:ascii="Corbel" w:eastAsia="Corbel" w:hAnsi="Corbel" w:cs="Corbel"/>
      <w:color w:val="0B5981"/>
      <w:kern w:val="0"/>
      <w:sz w:val="24"/>
      <w:szCs w:val="24"/>
      <w:lang w:eastAsia="et-EE"/>
      <w14:ligatures w14:val="none"/>
    </w:rPr>
  </w:style>
  <w:style w:type="character" w:customStyle="1" w:styleId="PealkiriMrk">
    <w:name w:val="Pealkiri Märk"/>
    <w:basedOn w:val="Liguvaikefont"/>
    <w:link w:val="Pealkiri"/>
    <w:uiPriority w:val="10"/>
    <w:qFormat/>
    <w:rsid w:val="00B47598"/>
    <w:rPr>
      <w:rFonts w:ascii="Corbel" w:eastAsia="Corbel" w:hAnsi="Corbel" w:cs="Corbel"/>
      <w:b/>
      <w:kern w:val="0"/>
      <w:sz w:val="72"/>
      <w:szCs w:val="72"/>
      <w:lang w:eastAsia="et-EE"/>
      <w14:ligatures w14:val="none"/>
    </w:rPr>
  </w:style>
  <w:style w:type="character" w:customStyle="1" w:styleId="AlapealkiriMrk">
    <w:name w:val="Alapealkiri Märk"/>
    <w:basedOn w:val="Liguvaikefont"/>
    <w:link w:val="Alapealkiri"/>
    <w:uiPriority w:val="11"/>
    <w:qFormat/>
    <w:rsid w:val="00B47598"/>
    <w:rPr>
      <w:rFonts w:ascii="Georgia" w:eastAsia="Georgia" w:hAnsi="Georgia" w:cs="Georgia"/>
      <w:i/>
      <w:color w:val="666666"/>
      <w:kern w:val="0"/>
      <w:sz w:val="48"/>
      <w:szCs w:val="48"/>
      <w:lang w:eastAsia="et-EE"/>
      <w14:ligatures w14:val="none"/>
    </w:rPr>
  </w:style>
  <w:style w:type="character" w:customStyle="1" w:styleId="KommentaaritekstMrk">
    <w:name w:val="Kommentaari tekst Märk"/>
    <w:basedOn w:val="Liguvaikefont"/>
    <w:link w:val="Kommentaaritekst"/>
    <w:uiPriority w:val="99"/>
    <w:semiHidden/>
    <w:qFormat/>
    <w:rsid w:val="00B47598"/>
    <w:rPr>
      <w:rFonts w:ascii="Corbel" w:eastAsia="Corbel" w:hAnsi="Corbel" w:cs="Corbel"/>
      <w:kern w:val="0"/>
      <w:sz w:val="20"/>
      <w:szCs w:val="20"/>
      <w:lang w:eastAsia="et-EE"/>
      <w14:ligatures w14:val="none"/>
    </w:rPr>
  </w:style>
  <w:style w:type="character" w:styleId="Kommentaariviide">
    <w:name w:val="annotation reference"/>
    <w:basedOn w:val="Liguvaikefont"/>
    <w:uiPriority w:val="99"/>
    <w:semiHidden/>
    <w:unhideWhenUsed/>
    <w:qFormat/>
    <w:rsid w:val="00B47598"/>
    <w:rPr>
      <w:sz w:val="16"/>
      <w:szCs w:val="16"/>
    </w:rPr>
  </w:style>
  <w:style w:type="character" w:customStyle="1" w:styleId="AllmrkusetekstMrk">
    <w:name w:val="Allmärkuse tekst Märk"/>
    <w:basedOn w:val="Liguvaikefont"/>
    <w:link w:val="Allmrkusetekst"/>
    <w:uiPriority w:val="99"/>
    <w:semiHidden/>
    <w:qFormat/>
    <w:rsid w:val="00B47598"/>
    <w:rPr>
      <w:rFonts w:ascii="Corbel" w:eastAsia="Corbel" w:hAnsi="Corbel" w:cs="Corbel"/>
      <w:kern w:val="0"/>
      <w:sz w:val="20"/>
      <w:szCs w:val="20"/>
      <w:lang w:eastAsia="et-EE"/>
      <w14:ligatures w14:val="none"/>
    </w:rPr>
  </w:style>
  <w:style w:type="character" w:customStyle="1" w:styleId="Allmrkusetekst1">
    <w:name w:val="Allmärkuse tekst1"/>
    <w:basedOn w:val="Liguvaikefont"/>
    <w:uiPriority w:val="99"/>
    <w:semiHidden/>
    <w:unhideWhenUsed/>
    <w:qFormat/>
    <w:rsid w:val="00B47598"/>
    <w:rPr>
      <w:vertAlign w:val="superscript"/>
    </w:rPr>
  </w:style>
  <w:style w:type="character" w:styleId="Allmrkuseviide">
    <w:name w:val="footnote reference"/>
    <w:rPr>
      <w:vertAlign w:val="superscript"/>
    </w:rPr>
  </w:style>
  <w:style w:type="character" w:styleId="Hperlink">
    <w:name w:val="Hyperlink"/>
    <w:basedOn w:val="Liguvaikefont"/>
    <w:uiPriority w:val="99"/>
    <w:unhideWhenUsed/>
    <w:rsid w:val="00B47598"/>
    <w:rPr>
      <w:color w:val="0563C1" w:themeColor="hyperlink"/>
      <w:u w:val="single"/>
    </w:rPr>
  </w:style>
  <w:style w:type="character" w:customStyle="1" w:styleId="PisMrk">
    <w:name w:val="Päis Märk"/>
    <w:basedOn w:val="Liguvaikefont"/>
    <w:link w:val="Pis"/>
    <w:uiPriority w:val="99"/>
    <w:qFormat/>
    <w:rsid w:val="00B47598"/>
    <w:rPr>
      <w:rFonts w:ascii="Corbel" w:eastAsia="Corbel" w:hAnsi="Corbel" w:cs="Corbel"/>
      <w:kern w:val="0"/>
      <w:sz w:val="24"/>
      <w:szCs w:val="24"/>
      <w:lang w:eastAsia="et-EE"/>
      <w14:ligatures w14:val="none"/>
    </w:rPr>
  </w:style>
  <w:style w:type="character" w:customStyle="1" w:styleId="JalusMrk">
    <w:name w:val="Jalus Märk"/>
    <w:basedOn w:val="Liguvaikefont"/>
    <w:link w:val="Jalus"/>
    <w:uiPriority w:val="99"/>
    <w:qFormat/>
    <w:rsid w:val="00B47598"/>
    <w:rPr>
      <w:rFonts w:ascii="Corbel" w:eastAsia="Corbel" w:hAnsi="Corbel" w:cs="Corbel"/>
      <w:kern w:val="0"/>
      <w:sz w:val="24"/>
      <w:szCs w:val="24"/>
      <w:lang w:eastAsia="et-EE"/>
      <w14:ligatures w14:val="none"/>
    </w:rPr>
  </w:style>
  <w:style w:type="character" w:customStyle="1" w:styleId="VahedetaMrk">
    <w:name w:val="Vahedeta Märk"/>
    <w:basedOn w:val="Liguvaikefont"/>
    <w:link w:val="Vahedeta"/>
    <w:uiPriority w:val="1"/>
    <w:qFormat/>
    <w:rsid w:val="00100B01"/>
    <w:rPr>
      <w:rFonts w:eastAsiaTheme="minorEastAsia"/>
      <w:kern w:val="0"/>
      <w:lang w:eastAsia="et-EE"/>
      <w14:ligatures w14:val="none"/>
    </w:rPr>
  </w:style>
  <w:style w:type="character" w:styleId="Lahendamatamainimine">
    <w:name w:val="Unresolved Mention"/>
    <w:basedOn w:val="Liguvaikefont"/>
    <w:uiPriority w:val="99"/>
    <w:semiHidden/>
    <w:unhideWhenUsed/>
    <w:qFormat/>
    <w:rsid w:val="0075142E"/>
    <w:rPr>
      <w:color w:val="605E5C"/>
      <w:shd w:val="clear" w:color="auto" w:fill="E1DFDD"/>
    </w:rPr>
  </w:style>
  <w:style w:type="character" w:styleId="Klastatudhperlink">
    <w:name w:val="FollowedHyperlink"/>
    <w:basedOn w:val="Liguvaikefont"/>
    <w:uiPriority w:val="99"/>
    <w:semiHidden/>
    <w:unhideWhenUsed/>
    <w:rsid w:val="009900B4"/>
    <w:rPr>
      <w:color w:val="954F72" w:themeColor="followedHyperlink"/>
      <w:u w:val="single"/>
    </w:rPr>
  </w:style>
  <w:style w:type="character" w:customStyle="1" w:styleId="Registrilink">
    <w:name w:val="Registri link"/>
    <w:qFormat/>
  </w:style>
  <w:style w:type="character" w:styleId="Lpumrkuseviide">
    <w:name w:val="endnote reference"/>
    <w:rPr>
      <w:vertAlign w:val="superscript"/>
    </w:rPr>
  </w:style>
  <w:style w:type="character" w:customStyle="1" w:styleId="Lpumrkusetekst1">
    <w:name w:val="Lõpumärkuse tekst1"/>
    <w:qFormat/>
  </w:style>
  <w:style w:type="paragraph" w:styleId="Pealkiri">
    <w:name w:val="Title"/>
    <w:basedOn w:val="Normaallaad"/>
    <w:next w:val="Kehatekst"/>
    <w:link w:val="PealkiriMrk"/>
    <w:uiPriority w:val="10"/>
    <w:qFormat/>
    <w:rsid w:val="00B47598"/>
    <w:pPr>
      <w:keepNext/>
      <w:keepLines/>
      <w:spacing w:before="480"/>
    </w:pPr>
    <w:rPr>
      <w:b/>
      <w:sz w:val="72"/>
      <w:szCs w:val="72"/>
    </w:rPr>
  </w:style>
  <w:style w:type="paragraph" w:styleId="Kehatekst">
    <w:name w:val="Body Text"/>
    <w:basedOn w:val="Normaallaad"/>
    <w:pPr>
      <w:spacing w:after="140" w:line="276" w:lineRule="auto"/>
    </w:pPr>
  </w:style>
  <w:style w:type="paragraph" w:styleId="Loend">
    <w:name w:val="List"/>
    <w:basedOn w:val="Kehatekst"/>
    <w:rPr>
      <w:rFonts w:cs="Arial"/>
    </w:rPr>
  </w:style>
  <w:style w:type="paragraph" w:styleId="Pealdis">
    <w:name w:val="caption"/>
    <w:basedOn w:val="Normaallaad"/>
    <w:qFormat/>
    <w:pPr>
      <w:suppressLineNumbers/>
      <w:spacing w:before="120"/>
    </w:pPr>
    <w:rPr>
      <w:rFonts w:cs="Arial"/>
      <w:i/>
      <w:iCs/>
    </w:rPr>
  </w:style>
  <w:style w:type="paragraph" w:customStyle="1" w:styleId="Register">
    <w:name w:val="Register"/>
    <w:basedOn w:val="Normaallaad"/>
    <w:qFormat/>
    <w:pPr>
      <w:suppressLineNumbers/>
    </w:pPr>
    <w:rPr>
      <w:rFonts w:cs="Arial"/>
    </w:rPr>
  </w:style>
  <w:style w:type="paragraph" w:styleId="Alapealkiri">
    <w:name w:val="Subtitle"/>
    <w:basedOn w:val="Normaallaad"/>
    <w:next w:val="Normaallaad"/>
    <w:link w:val="AlapealkiriMrk"/>
    <w:uiPriority w:val="11"/>
    <w:qFormat/>
    <w:rsid w:val="00B47598"/>
    <w:pPr>
      <w:keepNext/>
      <w:keepLines/>
      <w:spacing w:before="360" w:after="80"/>
    </w:pPr>
    <w:rPr>
      <w:rFonts w:ascii="Georgia" w:eastAsia="Georgia" w:hAnsi="Georgia" w:cs="Georgia"/>
      <w:i/>
      <w:color w:val="666666"/>
      <w:sz w:val="48"/>
      <w:szCs w:val="48"/>
    </w:rPr>
  </w:style>
  <w:style w:type="paragraph" w:styleId="Kommentaaritekst">
    <w:name w:val="annotation text"/>
    <w:basedOn w:val="Normaallaad"/>
    <w:link w:val="KommentaaritekstMrk"/>
    <w:uiPriority w:val="99"/>
    <w:semiHidden/>
    <w:unhideWhenUsed/>
    <w:qFormat/>
    <w:rsid w:val="00B47598"/>
    <w:rPr>
      <w:sz w:val="20"/>
      <w:szCs w:val="20"/>
    </w:rPr>
  </w:style>
  <w:style w:type="paragraph" w:styleId="Allmrkusetekst">
    <w:name w:val="footnote text"/>
    <w:basedOn w:val="Normaallaad"/>
    <w:link w:val="AllmrkusetekstMrk"/>
    <w:uiPriority w:val="99"/>
    <w:semiHidden/>
    <w:unhideWhenUsed/>
    <w:rsid w:val="00B47598"/>
    <w:pPr>
      <w:spacing w:after="0"/>
    </w:pPr>
    <w:rPr>
      <w:sz w:val="20"/>
      <w:szCs w:val="20"/>
    </w:rPr>
  </w:style>
  <w:style w:type="paragraph" w:customStyle="1" w:styleId="Standard">
    <w:name w:val="Standard"/>
    <w:qFormat/>
    <w:rsid w:val="00B47598"/>
    <w:pPr>
      <w:spacing w:after="200" w:line="276" w:lineRule="auto"/>
      <w:textAlignment w:val="baseline"/>
    </w:pPr>
    <w:rPr>
      <w:rFonts w:ascii="Calibri" w:eastAsia="Calibri" w:hAnsi="Calibri" w:cs="Times New Roman"/>
      <w:lang w:eastAsia="zh-CN"/>
      <w14:ligatures w14:val="none"/>
    </w:rPr>
  </w:style>
  <w:style w:type="paragraph" w:styleId="Loendilik">
    <w:name w:val="List Paragraph"/>
    <w:basedOn w:val="Normaallaad"/>
    <w:uiPriority w:val="34"/>
    <w:qFormat/>
    <w:rsid w:val="00B47598"/>
    <w:pPr>
      <w:ind w:left="720"/>
      <w:contextualSpacing/>
    </w:pPr>
  </w:style>
  <w:style w:type="paragraph" w:customStyle="1" w:styleId="Pisjajalus">
    <w:name w:val="Päis ja jalus"/>
    <w:basedOn w:val="Normaallaad"/>
    <w:qFormat/>
  </w:style>
  <w:style w:type="paragraph" w:styleId="Pis">
    <w:name w:val="header"/>
    <w:basedOn w:val="Normaallaad"/>
    <w:link w:val="PisMrk"/>
    <w:uiPriority w:val="99"/>
    <w:unhideWhenUsed/>
    <w:rsid w:val="00B47598"/>
    <w:pPr>
      <w:tabs>
        <w:tab w:val="center" w:pos="4536"/>
        <w:tab w:val="right" w:pos="9072"/>
      </w:tabs>
      <w:spacing w:after="0"/>
    </w:pPr>
  </w:style>
  <w:style w:type="paragraph" w:styleId="Jalus">
    <w:name w:val="footer"/>
    <w:basedOn w:val="Normaallaad"/>
    <w:link w:val="JalusMrk"/>
    <w:uiPriority w:val="99"/>
    <w:unhideWhenUsed/>
    <w:rsid w:val="00B47598"/>
    <w:pPr>
      <w:tabs>
        <w:tab w:val="center" w:pos="4536"/>
        <w:tab w:val="right" w:pos="9072"/>
      </w:tabs>
      <w:spacing w:after="0"/>
    </w:pPr>
  </w:style>
  <w:style w:type="paragraph" w:styleId="Vahedeta">
    <w:name w:val="No Spacing"/>
    <w:link w:val="VahedetaMrk"/>
    <w:uiPriority w:val="1"/>
    <w:qFormat/>
    <w:rsid w:val="00100B01"/>
    <w:rPr>
      <w:rFonts w:ascii="Century Gothic" w:eastAsiaTheme="minorEastAsia" w:hAnsi="Century Gothic"/>
      <w:kern w:val="0"/>
      <w:lang w:eastAsia="et-EE"/>
      <w14:ligatures w14:val="none"/>
    </w:rPr>
  </w:style>
  <w:style w:type="paragraph" w:styleId="Registripealkiri">
    <w:name w:val="index heading"/>
    <w:basedOn w:val="Pealkiri"/>
  </w:style>
  <w:style w:type="paragraph" w:styleId="Sisukorrapealkiri">
    <w:name w:val="TOC Heading"/>
    <w:basedOn w:val="Pealkiri1"/>
    <w:next w:val="Normaallaad"/>
    <w:uiPriority w:val="39"/>
    <w:unhideWhenUsed/>
    <w:qFormat/>
    <w:rsid w:val="008663AB"/>
    <w:pPr>
      <w:spacing w:line="259" w:lineRule="auto"/>
      <w:ind w:left="0" w:firstLine="0"/>
      <w:jc w:val="left"/>
      <w:outlineLvl w:val="9"/>
    </w:pPr>
    <w:rPr>
      <w:rFonts w:asciiTheme="majorHAnsi" w:eastAsiaTheme="majorEastAsia" w:hAnsiTheme="majorHAnsi" w:cstheme="majorBidi"/>
      <w:color w:val="2F5496" w:themeColor="accent1" w:themeShade="BF"/>
    </w:rPr>
  </w:style>
  <w:style w:type="paragraph" w:styleId="SK1">
    <w:name w:val="toc 1"/>
    <w:basedOn w:val="Normaallaad"/>
    <w:next w:val="Normaallaad"/>
    <w:autoRedefine/>
    <w:uiPriority w:val="39"/>
    <w:unhideWhenUsed/>
    <w:rsid w:val="008663AB"/>
    <w:pPr>
      <w:tabs>
        <w:tab w:val="right" w:leader="dot" w:pos="9062"/>
      </w:tabs>
      <w:spacing w:after="100"/>
    </w:pPr>
    <w:rPr>
      <w:rFonts w:ascii="Times New Roman" w:hAnsi="Times New Roman" w:cs="Times New Roman"/>
      <w:b/>
      <w:bCs/>
    </w:rPr>
  </w:style>
  <w:style w:type="paragraph" w:styleId="SK2">
    <w:name w:val="toc 2"/>
    <w:basedOn w:val="Normaallaad"/>
    <w:next w:val="Normaallaad"/>
    <w:autoRedefine/>
    <w:uiPriority w:val="39"/>
    <w:unhideWhenUsed/>
    <w:rsid w:val="008663AB"/>
    <w:pPr>
      <w:tabs>
        <w:tab w:val="right" w:leader="dot" w:pos="9062"/>
      </w:tabs>
      <w:spacing w:after="100"/>
      <w:ind w:left="240"/>
    </w:pPr>
    <w:rPr>
      <w:rFonts w:ascii="Times New Roman" w:hAnsi="Times New Roman" w:cs="Times New Roman"/>
      <w:b/>
      <w:bCs/>
    </w:rPr>
  </w:style>
  <w:style w:type="paragraph" w:styleId="SK3">
    <w:name w:val="toc 3"/>
    <w:basedOn w:val="Normaallaad"/>
    <w:next w:val="Normaallaad"/>
    <w:autoRedefine/>
    <w:uiPriority w:val="39"/>
    <w:unhideWhenUsed/>
    <w:rsid w:val="008663AB"/>
    <w:pPr>
      <w:spacing w:after="100"/>
      <w:ind w:left="480"/>
    </w:pPr>
  </w:style>
  <w:style w:type="paragraph" w:styleId="Normaallaadveeb">
    <w:name w:val="Normal (Web)"/>
    <w:basedOn w:val="Normaallaad"/>
    <w:uiPriority w:val="99"/>
    <w:semiHidden/>
    <w:unhideWhenUsed/>
    <w:qFormat/>
    <w:rsid w:val="0051776A"/>
    <w:pPr>
      <w:spacing w:beforeAutospacing="1" w:afterAutospacing="1"/>
      <w:jc w:val="left"/>
    </w:pPr>
    <w:rPr>
      <w:rFonts w:ascii="Times New Roman" w:eastAsia="Times New Roman" w:hAnsi="Times New Roman" w:cs="Times New Roman"/>
    </w:rPr>
  </w:style>
  <w:style w:type="table" w:customStyle="1" w:styleId="TableNormal">
    <w:name w:val="Table Normal"/>
    <w:rsid w:val="00B47598"/>
    <w:pPr>
      <w:spacing w:after="120"/>
      <w:jc w:val="both"/>
    </w:pPr>
    <w:rPr>
      <w:sz w:val="24"/>
      <w:szCs w:val="24"/>
      <w:lang w:eastAsia="et-EE"/>
    </w:rPr>
    <w:tblPr>
      <w:tblCellMar>
        <w:top w:w="0" w:type="dxa"/>
        <w:left w:w="0" w:type="dxa"/>
        <w:bottom w:w="0" w:type="dxa"/>
        <w:right w:w="0" w:type="dxa"/>
      </w:tblCellMar>
    </w:tblPr>
  </w:style>
  <w:style w:type="table" w:styleId="Kontuurtabel">
    <w:name w:val="Table Grid"/>
    <w:basedOn w:val="Normaaltabel"/>
    <w:uiPriority w:val="39"/>
    <w:rsid w:val="00B47598"/>
    <w:pPr>
      <w:jc w:val="both"/>
    </w:pPr>
    <w:rPr>
      <w:sz w:val="24"/>
      <w:szCs w:val="24"/>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Normaaltabel"/>
    <w:uiPriority w:val="39"/>
    <w:rsid w:val="00080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allaad"/>
    <w:rsid w:val="002D4864"/>
    <w:pPr>
      <w:suppressAutoHyphens w:val="0"/>
      <w:spacing w:before="100" w:beforeAutospacing="1" w:after="100" w:afterAutospacing="1"/>
      <w:jc w:val="left"/>
    </w:pPr>
    <w:rPr>
      <w:rFonts w:ascii="Times New Roman" w:eastAsia="Times New Roman" w:hAnsi="Times New Roman" w:cs="Times New Roman"/>
    </w:rPr>
  </w:style>
  <w:style w:type="paragraph" w:customStyle="1" w:styleId="xl65">
    <w:name w:val="xl65"/>
    <w:basedOn w:val="Normaallaad"/>
    <w:rsid w:val="002D4864"/>
    <w:pPr>
      <w:suppressAutoHyphens w:val="0"/>
      <w:spacing w:before="100" w:beforeAutospacing="1" w:after="100" w:afterAutospacing="1"/>
      <w:jc w:val="left"/>
    </w:pPr>
    <w:rPr>
      <w:rFonts w:ascii="Times New Roman" w:eastAsia="Times New Roman" w:hAnsi="Times New Roman" w:cs="Times New Roman"/>
    </w:rPr>
  </w:style>
  <w:style w:type="paragraph" w:customStyle="1" w:styleId="xl67">
    <w:name w:val="xl67"/>
    <w:basedOn w:val="Normaallaad"/>
    <w:rsid w:val="002D4864"/>
    <w:pPr>
      <w:suppressAutoHyphens w:val="0"/>
      <w:spacing w:before="100" w:beforeAutospacing="1" w:after="100" w:afterAutospacing="1"/>
      <w:jc w:val="left"/>
    </w:pPr>
    <w:rPr>
      <w:rFonts w:ascii="Times New Roman" w:eastAsia="Times New Roman" w:hAnsi="Times New Roman" w:cs="Times New Roman"/>
    </w:rPr>
  </w:style>
  <w:style w:type="paragraph" w:customStyle="1" w:styleId="xl68">
    <w:name w:val="xl68"/>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69">
    <w:name w:val="xl69"/>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0">
    <w:name w:val="xl70"/>
    <w:basedOn w:val="Normaallaad"/>
    <w:rsid w:val="002D4864"/>
    <w:pPr>
      <w:pBdr>
        <w:top w:val="single" w:sz="4" w:space="0" w:color="auto"/>
        <w:left w:val="single" w:sz="4" w:space="0" w:color="auto"/>
        <w:bottom w:val="single" w:sz="4" w:space="0" w:color="auto"/>
        <w:right w:val="single" w:sz="4" w:space="0" w:color="auto"/>
      </w:pBdr>
      <w:shd w:val="clear" w:color="E2F0D9"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1">
    <w:name w:val="xl71"/>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2">
    <w:name w:val="xl72"/>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3">
    <w:name w:val="xl73"/>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4">
    <w:name w:val="xl74"/>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b/>
      <w:bCs/>
    </w:rPr>
  </w:style>
  <w:style w:type="paragraph" w:customStyle="1" w:styleId="xl75">
    <w:name w:val="xl75"/>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b/>
      <w:bCs/>
    </w:rPr>
  </w:style>
  <w:style w:type="paragraph" w:customStyle="1" w:styleId="xl76">
    <w:name w:val="xl76"/>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b/>
      <w:bCs/>
    </w:rPr>
  </w:style>
  <w:style w:type="paragraph" w:customStyle="1" w:styleId="xl77">
    <w:name w:val="xl77"/>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8">
    <w:name w:val="xl78"/>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79">
    <w:name w:val="xl79"/>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0">
    <w:name w:val="xl80"/>
    <w:basedOn w:val="Normaallaad"/>
    <w:rsid w:val="002D4864"/>
    <w:pPr>
      <w:pBdr>
        <w:top w:val="single" w:sz="4" w:space="0" w:color="auto"/>
        <w:left w:val="single" w:sz="4" w:space="0" w:color="auto"/>
        <w:bottom w:val="single" w:sz="4" w:space="0" w:color="auto"/>
        <w:right w:val="single" w:sz="4" w:space="0" w:color="auto"/>
      </w:pBdr>
      <w:shd w:val="clear" w:color="FFC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1">
    <w:name w:val="xl81"/>
    <w:basedOn w:val="Normaallaad"/>
    <w:rsid w:val="002D4864"/>
    <w:pPr>
      <w:pBdr>
        <w:top w:val="single" w:sz="4" w:space="0" w:color="auto"/>
        <w:left w:val="single" w:sz="4" w:space="0" w:color="auto"/>
        <w:bottom w:val="single" w:sz="4" w:space="0" w:color="auto"/>
        <w:right w:val="single" w:sz="4" w:space="0" w:color="auto"/>
      </w:pBdr>
      <w:shd w:val="clear" w:color="FFC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2">
    <w:name w:val="xl82"/>
    <w:basedOn w:val="Normaallaad"/>
    <w:rsid w:val="002D4864"/>
    <w:pPr>
      <w:pBdr>
        <w:top w:val="single" w:sz="4" w:space="0" w:color="auto"/>
        <w:left w:val="single" w:sz="4" w:space="0" w:color="auto"/>
        <w:bottom w:val="single" w:sz="4" w:space="0" w:color="auto"/>
        <w:right w:val="single" w:sz="4" w:space="0" w:color="auto"/>
      </w:pBdr>
      <w:shd w:val="clear" w:color="E2F0D9"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3">
    <w:name w:val="xl83"/>
    <w:basedOn w:val="Normaallaad"/>
    <w:rsid w:val="002D4864"/>
    <w:pPr>
      <w:pBdr>
        <w:top w:val="single" w:sz="4" w:space="0" w:color="auto"/>
        <w:left w:val="single" w:sz="4" w:space="0" w:color="auto"/>
        <w:bottom w:val="single" w:sz="4" w:space="0" w:color="auto"/>
        <w:right w:val="single" w:sz="4" w:space="0" w:color="auto"/>
      </w:pBdr>
      <w:shd w:val="clear" w:color="FFC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4">
    <w:name w:val="xl84"/>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5">
    <w:name w:val="xl85"/>
    <w:basedOn w:val="Normaallaad"/>
    <w:rsid w:val="002D486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6">
    <w:name w:val="xl86"/>
    <w:basedOn w:val="Normaallaad"/>
    <w:rsid w:val="002D4864"/>
    <w:pPr>
      <w:pBdr>
        <w:top w:val="single" w:sz="4" w:space="0" w:color="auto"/>
        <w:left w:val="single" w:sz="4" w:space="0" w:color="auto"/>
        <w:bottom w:val="single" w:sz="4" w:space="0" w:color="auto"/>
        <w:right w:val="single" w:sz="4" w:space="0" w:color="auto"/>
      </w:pBdr>
      <w:shd w:val="clear" w:color="F8CBAD" w:fill="FFFFFF"/>
      <w:suppressAutoHyphens w:val="0"/>
      <w:spacing w:before="100" w:beforeAutospacing="1" w:after="100" w:afterAutospacing="1"/>
      <w:jc w:val="left"/>
    </w:pPr>
    <w:rPr>
      <w:rFonts w:ascii="Times New Roman" w:eastAsia="Times New Roman" w:hAnsi="Times New Roman" w:cs="Times New Roman"/>
    </w:rPr>
  </w:style>
  <w:style w:type="paragraph" w:customStyle="1" w:styleId="xl87">
    <w:name w:val="xl87"/>
    <w:basedOn w:val="Normaallaad"/>
    <w:rsid w:val="002D4864"/>
    <w:pPr>
      <w:pBdr>
        <w:top w:val="single" w:sz="4" w:space="0" w:color="auto"/>
        <w:left w:val="single" w:sz="4" w:space="0" w:color="auto"/>
        <w:bottom w:val="single" w:sz="4" w:space="0" w:color="auto"/>
        <w:right w:val="single" w:sz="4" w:space="0" w:color="auto"/>
      </w:pBdr>
      <w:shd w:val="clear" w:color="E2F0D9" w:fill="FFFFFF"/>
      <w:suppressAutoHyphens w:val="0"/>
      <w:spacing w:before="100" w:beforeAutospacing="1" w:after="100" w:afterAutospacing="1"/>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54563">
      <w:bodyDiv w:val="1"/>
      <w:marLeft w:val="0"/>
      <w:marRight w:val="0"/>
      <w:marTop w:val="0"/>
      <w:marBottom w:val="0"/>
      <w:divBdr>
        <w:top w:val="none" w:sz="0" w:space="0" w:color="auto"/>
        <w:left w:val="none" w:sz="0" w:space="0" w:color="auto"/>
        <w:bottom w:val="none" w:sz="0" w:space="0" w:color="auto"/>
        <w:right w:val="none" w:sz="0" w:space="0" w:color="auto"/>
      </w:divBdr>
    </w:div>
    <w:div w:id="761409932">
      <w:bodyDiv w:val="1"/>
      <w:marLeft w:val="0"/>
      <w:marRight w:val="0"/>
      <w:marTop w:val="0"/>
      <w:marBottom w:val="0"/>
      <w:divBdr>
        <w:top w:val="none" w:sz="0" w:space="0" w:color="auto"/>
        <w:left w:val="none" w:sz="0" w:space="0" w:color="auto"/>
        <w:bottom w:val="none" w:sz="0" w:space="0" w:color="auto"/>
        <w:right w:val="none" w:sz="0" w:space="0" w:color="auto"/>
      </w:divBdr>
    </w:div>
    <w:div w:id="988167242">
      <w:bodyDiv w:val="1"/>
      <w:marLeft w:val="0"/>
      <w:marRight w:val="0"/>
      <w:marTop w:val="0"/>
      <w:marBottom w:val="0"/>
      <w:divBdr>
        <w:top w:val="none" w:sz="0" w:space="0" w:color="auto"/>
        <w:left w:val="none" w:sz="0" w:space="0" w:color="auto"/>
        <w:bottom w:val="none" w:sz="0" w:space="0" w:color="auto"/>
        <w:right w:val="none" w:sz="0" w:space="0" w:color="auto"/>
      </w:divBdr>
    </w:div>
    <w:div w:id="2111198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uroparl.europa.eu/factsheets/et/sheet/53/euroopa-sotsiaalfond" TargetMode="External"/><Relationship Id="rId117" Type="http://schemas.openxmlformats.org/officeDocument/2006/relationships/hyperlink" Target="https://www.sadamaregister.ee/sadam/3921" TargetMode="External"/><Relationship Id="rId21" Type="http://schemas.openxmlformats.org/officeDocument/2006/relationships/image" Target="media/image14.png"/><Relationship Id="rId42" Type="http://schemas.openxmlformats.org/officeDocument/2006/relationships/hyperlink" Target="https://www.riigiteataja.ee/aktilisa/4271/1202/0023/arengukava.pdf" TargetMode="External"/><Relationship Id="rId47" Type="http://schemas.openxmlformats.org/officeDocument/2006/relationships/hyperlink" Target="https://www.riigiteataja.ee/aktilisa/4060/3202/0074/Kultuuri%20arengukava.pdf" TargetMode="External"/><Relationship Id="rId63" Type="http://schemas.openxmlformats.org/officeDocument/2006/relationships/hyperlink" Target="https://www.saaremaavald.ee/documents/17113760/31485073/Saaremaa+rahvastik+ja+rahvastikuprognoos+2022&#8211;2052.pdf/3ee0b626-de77-465d-ba78-8a1ecc676496" TargetMode="External"/><Relationship Id="rId68" Type="http://schemas.openxmlformats.org/officeDocument/2006/relationships/hyperlink" Target="https://www.saaremaavald.ee/documents/17113760/31485073/Saare+maakonna+ettev&#245;tjate+rahulolu+uuring+(2019).pdf/562b5641-88c4-4b60-89da-fda330ae32ab" TargetMode="External"/><Relationship Id="rId84" Type="http://schemas.openxmlformats.org/officeDocument/2006/relationships/hyperlink" Target="https://www.saartekalandus.ee/wp-content/uploads/2023/08/Kala-ja-kalatoodete-tarbimine.pdf" TargetMode="External"/><Relationship Id="rId89" Type="http://schemas.openxmlformats.org/officeDocument/2006/relationships/hyperlink" Target="https://www.saartekalandus.ee/wp-content/uploads/2023/10/poka-2030-taistekst.pdf" TargetMode="External"/><Relationship Id="rId112" Type="http://schemas.openxmlformats.org/officeDocument/2006/relationships/hyperlink" Target="https://www.sadamaregister.ee/sadam/2665" TargetMode="External"/><Relationship Id="rId133" Type="http://schemas.openxmlformats.org/officeDocument/2006/relationships/chart" Target="charts/chart13.xml"/><Relationship Id="rId16" Type="http://schemas.openxmlformats.org/officeDocument/2006/relationships/image" Target="media/image9.jpeg"/><Relationship Id="rId107" Type="http://schemas.openxmlformats.org/officeDocument/2006/relationships/hyperlink" Target="mailto:vald@saaremaavald.ee" TargetMode="External"/><Relationship Id="rId11" Type="http://schemas.openxmlformats.org/officeDocument/2006/relationships/image" Target="media/image4.png"/><Relationship Id="rId32" Type="http://schemas.openxmlformats.org/officeDocument/2006/relationships/hyperlink" Target="https://www.saartekalandus.ee/wp-content/uploads/2023/10/emkvf-2021-rakenduskava-2022-12-08.pdf" TargetMode="External"/><Relationship Id="rId37" Type="http://schemas.openxmlformats.org/officeDocument/2006/relationships/hyperlink" Target="https://www.saartekalandus.ee/wp-content/uploads/2023/10/Digiuhiskonnna-ARENGUKAVA_13.12.2021.pdf" TargetMode="External"/><Relationship Id="rId53" Type="http://schemas.openxmlformats.org/officeDocument/2006/relationships/hyperlink" Target="http://www.saartekaladus.ee/" TargetMode="External"/><Relationship Id="rId58" Type="http://schemas.openxmlformats.org/officeDocument/2006/relationships/hyperlink" Target="http://www.saartekalandus.ee/" TargetMode="External"/><Relationship Id="rId74" Type="http://schemas.openxmlformats.org/officeDocument/2006/relationships/hyperlink" Target="https://www.saartekalandus.ee/wp-content/uploads/2023/12/Vesiviljelus-Eesti-merealal.pdf" TargetMode="External"/><Relationship Id="rId79" Type="http://schemas.openxmlformats.org/officeDocument/2006/relationships/hyperlink" Target="https://balticfisheries.com/wp-content/uploads/2021/06/EE-meediabulletaan-Final-seminar-Baltic-FLAGs-26.5.2021.pdf" TargetMode="External"/><Relationship Id="rId102" Type="http://schemas.openxmlformats.org/officeDocument/2006/relationships/hyperlink" Target="https://www.riigiteataja.ee/aktilisa/4081/0202/1013/kogukondliku%20tegevuse%20ak.pdf" TargetMode="External"/><Relationship Id="rId123" Type="http://schemas.openxmlformats.org/officeDocument/2006/relationships/chart" Target="charts/chart3.xml"/><Relationship Id="rId128" Type="http://schemas.openxmlformats.org/officeDocument/2006/relationships/chart" Target="charts/chart8.xml"/><Relationship Id="rId5" Type="http://schemas.openxmlformats.org/officeDocument/2006/relationships/webSettings" Target="webSettings.xml"/><Relationship Id="rId90" Type="http://schemas.openxmlformats.org/officeDocument/2006/relationships/hyperlink" Target="https://www.saartekalandus.ee/wp-content/uploads/2023/10/emkvf-2021-rakenduskava-2022-12-08.pdf" TargetMode="External"/><Relationship Id="rId95" Type="http://schemas.openxmlformats.org/officeDocument/2006/relationships/hyperlink" Target="https://www.saartekalandus.ee/wp-content/uploads/2023/10/Digiuhiskonnna-ARENGUKAVA_13.12.2021.pdf" TargetMode="External"/><Relationship Id="rId14" Type="http://schemas.openxmlformats.org/officeDocument/2006/relationships/image" Target="media/image7.png"/><Relationship Id="rId22" Type="http://schemas.openxmlformats.org/officeDocument/2006/relationships/hyperlink" Target="https://jukuri.luke.fi/bitstream/handle/10024/544854/luke_luobio_77_2019.pdf?sequence=1&amp;isAllowed=y&amp;fbclid=IwAR2cHrHn1ONAWu_p96PRGRVkDE6Ys_k_5dz9P6nTaV6ECfEaCCRfuQL6CPg" TargetMode="External"/><Relationship Id="rId27" Type="http://schemas.openxmlformats.org/officeDocument/2006/relationships/hyperlink" Target="https://www.europarl.europa.eu/factsheets/et/sheet/53/euroopa-sotsiaalfond" TargetMode="External"/><Relationship Id="rId30" Type="http://schemas.openxmlformats.org/officeDocument/2006/relationships/hyperlink" Target="https://www.saartekalandus.ee/wp-content/uploads/2023/10/Ettevotluskeskkonna-programm-2023-2026.pdf" TargetMode="External"/><Relationship Id="rId35" Type="http://schemas.openxmlformats.org/officeDocument/2006/relationships/hyperlink" Target="https://eur-lex.europa.eu/LexUriServ/LexUriServ.do?uri=OJ:C:2011:351E:0001:0008:ET:PDF" TargetMode="External"/><Relationship Id="rId43" Type="http://schemas.openxmlformats.org/officeDocument/2006/relationships/hyperlink" Target="https://www.riigiteataja.ee/aktilisa/4271/1202/0023/arengukava.pdf" TargetMode="External"/><Relationship Id="rId48" Type="http://schemas.openxmlformats.org/officeDocument/2006/relationships/hyperlink" Target="https://www.riigiteataja.ee/aktilisa/4030/9202/1011/sadamate%20ak.pdf" TargetMode="External"/><Relationship Id="rId56" Type="http://schemas.openxmlformats.org/officeDocument/2006/relationships/hyperlink" Target="http://www.saartekalandus.ee/" TargetMode="External"/><Relationship Id="rId64" Type="http://schemas.openxmlformats.org/officeDocument/2006/relationships/hyperlink" Target="https://palgad.stat.ee/" TargetMode="External"/><Relationship Id="rId69" Type="http://schemas.openxmlformats.org/officeDocument/2006/relationships/hyperlink" Target="https://www.saaremaavald.ee/documents/17113760/31485073/Saare+maakonna+ettev&#245;tluskeskkond+ja+selle+arendamisv&#245;imaluste+anal&#252;&#252;s+(2019).pdf/67dbdd8a-5f85-463d-a97f-c2317eb81fb4" TargetMode="External"/><Relationship Id="rId77" Type="http://schemas.openxmlformats.org/officeDocument/2006/relationships/hyperlink" Target="https://kliimaministeerium.ee/elurikkus-keskkonnakaitse/kalandus/uuringud-ja-aruanded" TargetMode="External"/><Relationship Id="rId100" Type="http://schemas.openxmlformats.org/officeDocument/2006/relationships/hyperlink" Target="https://www.riigiteataja.ee/aktilisa/4271/1202/0023/arengukava.pdf" TargetMode="External"/><Relationship Id="rId105" Type="http://schemas.openxmlformats.org/officeDocument/2006/relationships/hyperlink" Target="https://www.kalateave.ee/images/EMKVF_2021-2027_strateegiatest_.pdf" TargetMode="External"/><Relationship Id="rId113" Type="http://schemas.openxmlformats.org/officeDocument/2006/relationships/hyperlink" Target="mailto:vald@saaremaavald.ee" TargetMode="External"/><Relationship Id="rId118" Type="http://schemas.openxmlformats.org/officeDocument/2006/relationships/hyperlink" Target="mailto:jlem@online.ee" TargetMode="External"/><Relationship Id="rId126" Type="http://schemas.openxmlformats.org/officeDocument/2006/relationships/chart" Target="charts/chart6.xm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hyperlink" Target="https://pta.agri.ee/ettevotjale-tootjale-ja-turustajale/kutseline-kalapuuk/puugistatistika" TargetMode="External"/><Relationship Id="rId80" Type="http://schemas.openxmlformats.org/officeDocument/2006/relationships/hyperlink" Target="https://jukuri.luke.fi/bitstream/handle/10024/544854/luke_luobio_77_2019.pdf?sequence=1&amp;isAllowed=y&amp;fbclid=IwAR2cHrHn1ONAWu_p96PRGRVkDE6Ys_k_5dz9P6nTaV6ECfEaCCRfuQL6CPg" TargetMode="External"/><Relationship Id="rId85" Type="http://schemas.openxmlformats.org/officeDocument/2006/relationships/hyperlink" Target="https://www.riigiteataja.ee/akt/119102023013" TargetMode="External"/><Relationship Id="rId93" Type="http://schemas.openxmlformats.org/officeDocument/2006/relationships/hyperlink" Target="https://eurlex.europa.eu/LexUriServ/LexUriServ.do?uri=OJ:C:2011:351E:0001:0008:ET:PDF" TargetMode="External"/><Relationship Id="rId98" Type="http://schemas.openxmlformats.org/officeDocument/2006/relationships/hyperlink" Target="https://www.riigiteataja.ee/aktilisa/4040/5202/2015/strateegia.pdf" TargetMode="External"/><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1.xml"/><Relationship Id="rId33" Type="http://schemas.openxmlformats.org/officeDocument/2006/relationships/hyperlink" Target="https://www.saartekalandus.ee/wp-content/uploads/2023/10/uleriigiline-planeering_2030.pdf" TargetMode="External"/><Relationship Id="rId38" Type="http://schemas.openxmlformats.org/officeDocument/2006/relationships/hyperlink" Target="https://www.saartekalandus.ee/wp-content/uploads/2023/10/Kliimamuutustega-kohanemise-arengukava-aastani-2030.pdf" TargetMode="External"/><Relationship Id="rId46" Type="http://schemas.openxmlformats.org/officeDocument/2006/relationships/hyperlink" Target="https://www.riigiteataja.ee/aktilisa/4081/0202/1013/kogukondliku%20tegevuse%20ak.pdf" TargetMode="External"/><Relationship Id="rId59" Type="http://schemas.openxmlformats.org/officeDocument/2006/relationships/image" Target="media/image19.png"/><Relationship Id="rId67" Type="http://schemas.openxmlformats.org/officeDocument/2006/relationships/hyperlink" Target="https://www.stat.ee/et/avasta-statistikat/kiirstatistika/ukrainlased-eesti-tooturul" TargetMode="External"/><Relationship Id="rId103" Type="http://schemas.openxmlformats.org/officeDocument/2006/relationships/hyperlink" Target="https://www.riigiteataja.ee/aktilisa/4060/3202/0074/Kultuuri%20arengukava.pdf" TargetMode="External"/><Relationship Id="rId108" Type="http://schemas.openxmlformats.org/officeDocument/2006/relationships/hyperlink" Target="mailto:raido.kahm@saaremaavald.ee" TargetMode="External"/><Relationship Id="rId116" Type="http://schemas.openxmlformats.org/officeDocument/2006/relationships/hyperlink" Target="https://www.sadamaregister.ee/sadam/2122" TargetMode="External"/><Relationship Id="rId124" Type="http://schemas.openxmlformats.org/officeDocument/2006/relationships/chart" Target="charts/chart4.xml"/><Relationship Id="rId129" Type="http://schemas.openxmlformats.org/officeDocument/2006/relationships/chart" Target="charts/chart9.xml"/><Relationship Id="rId20" Type="http://schemas.openxmlformats.org/officeDocument/2006/relationships/image" Target="media/image13.png"/><Relationship Id="rId41" Type="http://schemas.openxmlformats.org/officeDocument/2006/relationships/hyperlink" Target="https://www.riigiteataja.ee/aktilisa/4280/9202/2023/MuhuVVK_15082019_m36_lisa1.pdf" TargetMode="External"/><Relationship Id="rId54" Type="http://schemas.openxmlformats.org/officeDocument/2006/relationships/hyperlink" Target="https://epria.pria.ee/login/" TargetMode="External"/><Relationship Id="rId62" Type="http://schemas.openxmlformats.org/officeDocument/2006/relationships/hyperlink" Target="https://www.riigiteataja.ee/aktilisa/4051/0202/3051/Lisa1_arengustrateegia2022.pdf" TargetMode="External"/><Relationship Id="rId70" Type="http://schemas.openxmlformats.org/officeDocument/2006/relationships/hyperlink" Target="https://www.agri.ee/regionaalareng-planeeringud/ruumiline-planeerimine/mereala-planeering" TargetMode="External"/><Relationship Id="rId75" Type="http://schemas.openxmlformats.org/officeDocument/2006/relationships/hyperlink" Target="https://loomus.ee/loe-joonas-plaani-ettekande-avamere-kalakasvatuste-voimalik-keskkonnamoju-uleskirjutus/" TargetMode="External"/><Relationship Id="rId83" Type="http://schemas.openxmlformats.org/officeDocument/2006/relationships/hyperlink" Target="http://www.teatmik.ee/" TargetMode="External"/><Relationship Id="rId88" Type="http://schemas.openxmlformats.org/officeDocument/2006/relationships/hyperlink" Target="https://www.saartekalandus.ee/wp-content/uploads/2023/10/Ettevotluskeskkonna-programm-2023-2026.pdf" TargetMode="External"/><Relationship Id="rId91" Type="http://schemas.openxmlformats.org/officeDocument/2006/relationships/hyperlink" Target="https://www.saartekalandus.ee/wp-content/uploads/2023/10/uleriigiline-planeering_2030.pdf" TargetMode="External"/><Relationship Id="rId96" Type="http://schemas.openxmlformats.org/officeDocument/2006/relationships/hyperlink" Target="https://www.saartekalandus.ee/wp-content/uploads/2023/10/Kliimamuutustega-kohanemise-arengukava-aastani-2030.pdf" TargetMode="External"/><Relationship Id="rId111" Type="http://schemas.openxmlformats.org/officeDocument/2006/relationships/hyperlink" Target="mailto:sadam@muratsi.ee" TargetMode="External"/><Relationship Id="rId132"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europarl.europa.eu/factsheets/et/sheet/95/euroopa-regionaalarengu-fond-erf-" TargetMode="External"/><Relationship Id="rId36" Type="http://schemas.openxmlformats.org/officeDocument/2006/relationships/hyperlink" Target="https://www.saartekalandus.ee/wp-content/uploads/2023/10/Transpordi-ja-liikuvuse-arengukava-2021&#8211;2035.pdf" TargetMode="External"/><Relationship Id="rId49" Type="http://schemas.openxmlformats.org/officeDocument/2006/relationships/image" Target="media/image16.png"/><Relationship Id="rId57" Type="http://schemas.openxmlformats.org/officeDocument/2006/relationships/hyperlink" Target="http://www.saartekalandus.ee/" TargetMode="External"/><Relationship Id="rId106" Type="http://schemas.openxmlformats.org/officeDocument/2006/relationships/hyperlink" Target="https://www.sadamaregister.ee/sadam/2200" TargetMode="External"/><Relationship Id="rId114" Type="http://schemas.openxmlformats.org/officeDocument/2006/relationships/hyperlink" Target="mailto:raido.kahm@saaremaavald.ee" TargetMode="External"/><Relationship Id="rId119" Type="http://schemas.openxmlformats.org/officeDocument/2006/relationships/header" Target="header1.xml"/><Relationship Id="rId127" Type="http://schemas.openxmlformats.org/officeDocument/2006/relationships/chart" Target="charts/chart7.xml"/><Relationship Id="rId10" Type="http://schemas.openxmlformats.org/officeDocument/2006/relationships/image" Target="media/image3.png"/><Relationship Id="rId31" Type="http://schemas.openxmlformats.org/officeDocument/2006/relationships/hyperlink" Target="https://www.saartekalandus.ee/wp-content/uploads/2023/10/poka-2030-taistekst.pdf" TargetMode="External"/><Relationship Id="rId44" Type="http://schemas.openxmlformats.org/officeDocument/2006/relationships/hyperlink" Target="https://www.riigiteataja.ee/aktilisa/4050/2202/0035/Lisa.pdf" TargetMode="External"/><Relationship Id="rId52" Type="http://schemas.openxmlformats.org/officeDocument/2006/relationships/hyperlink" Target="http://www.saartekaladus.ee/" TargetMode="External"/><Relationship Id="rId60" Type="http://schemas.openxmlformats.org/officeDocument/2006/relationships/hyperlink" Target="https://juhtimislauad.stat.ee/et/piirkondlik-statistika-3/saare-maakond-68" TargetMode="External"/><Relationship Id="rId65" Type="http://schemas.openxmlformats.org/officeDocument/2006/relationships/hyperlink" Target="https://www.emta.ee/ariklient/amet-uudised-ja-kontakt/uudised-pressiinfo-statistika/statistika-ja-avaandmed" TargetMode="External"/><Relationship Id="rId73" Type="http://schemas.openxmlformats.org/officeDocument/2006/relationships/hyperlink" Target="https://www.saartekalandus.ee/wp-content/uploads/2023/12/Projekti-Puugikoormuste-kohandamine-lopparuanne.pdf" TargetMode="External"/><Relationship Id="rId78" Type="http://schemas.openxmlformats.org/officeDocument/2006/relationships/hyperlink" Target="https://stud.epsilon.slu.se/16455/1/svensson_r_210215.pdf" TargetMode="External"/><Relationship Id="rId81" Type="http://schemas.openxmlformats.org/officeDocument/2006/relationships/hyperlink" Target="https://www.agri.ee/maaelu-pollumajandus-toiduturg/pollumajandus-ja-toiduturg/ulevaated-ja-statistika?view_instance=0&amp;current_page=1" TargetMode="External"/><Relationship Id="rId86" Type="http://schemas.openxmlformats.org/officeDocument/2006/relationships/hyperlink" Target="https://www.europarl.europa.eu/factsheets/et/sheet/53/euroopa-sotsiaalfond" TargetMode="External"/><Relationship Id="rId94" Type="http://schemas.openxmlformats.org/officeDocument/2006/relationships/hyperlink" Target="https://www.saartekalandus.ee/wp-content/uploads/2023/10/Transpordi-ja-liikuvuse-arengukava-2021&#8211;2035.pdf" TargetMode="External"/><Relationship Id="rId99" Type="http://schemas.openxmlformats.org/officeDocument/2006/relationships/hyperlink" Target="https://www.riigiteataja.ee/aktilisa/4280/9202/2023/MuhuVVK_15082019_m36_lisa1.pdf" TargetMode="External"/><Relationship Id="rId101" Type="http://schemas.openxmlformats.org/officeDocument/2006/relationships/hyperlink" Target="https://www.riigiteataja.ee/aktilisa/4050/2202/0035/Lisa.pdf" TargetMode="External"/><Relationship Id="rId122" Type="http://schemas.openxmlformats.org/officeDocument/2006/relationships/chart" Target="charts/chart2.xml"/><Relationship Id="rId130" Type="http://schemas.openxmlformats.org/officeDocument/2006/relationships/chart" Target="charts/chart10.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www.riigiteataja.ee/aktilisa/4051/0202/3051/Lisa1_arengustrateegia2022.pdf" TargetMode="External"/><Relationship Id="rId109" Type="http://schemas.openxmlformats.org/officeDocument/2006/relationships/hyperlink" Target="http://www.saaremaavald.ee/" TargetMode="External"/><Relationship Id="rId34" Type="http://schemas.openxmlformats.org/officeDocument/2006/relationships/hyperlink" Target="https://www.saartekalandus.ee/wp-content/uploads/2023/12/Uhtekuuluvuspoliitika-fondide-rakenduskava-perioodiks-2021-2027.pdf" TargetMode="External"/><Relationship Id="rId50" Type="http://schemas.openxmlformats.org/officeDocument/2006/relationships/image" Target="media/image17.png"/><Relationship Id="rId55" Type="http://schemas.openxmlformats.org/officeDocument/2006/relationships/hyperlink" Target="https://epria.pria.ee/login/" TargetMode="External"/><Relationship Id="rId76" Type="http://schemas.openxmlformats.org/officeDocument/2006/relationships/hyperlink" Target="https://kliimaministeerium.ee/kalandus" TargetMode="External"/><Relationship Id="rId97" Type="http://schemas.openxmlformats.org/officeDocument/2006/relationships/hyperlink" Target="https://www.riigiteataja.ee/aktilisa/4051/0202/3051/Lisa1_arengustrateegia2022.pdf" TargetMode="External"/><Relationship Id="rId104" Type="http://schemas.openxmlformats.org/officeDocument/2006/relationships/hyperlink" Target="https://www.riigiteataja.ee/aktilisa/4030/9202/1011/sadamate%20ak.pdf" TargetMode="External"/><Relationship Id="rId120" Type="http://schemas.openxmlformats.org/officeDocument/2006/relationships/footer" Target="footer1.xml"/><Relationship Id="rId125" Type="http://schemas.openxmlformats.org/officeDocument/2006/relationships/chart" Target="charts/chart5.xml"/><Relationship Id="rId7" Type="http://schemas.openxmlformats.org/officeDocument/2006/relationships/endnotes" Target="endnotes.xml"/><Relationship Id="rId71" Type="http://schemas.openxmlformats.org/officeDocument/2006/relationships/hyperlink" Target="https://www.saartekalandus.ee/wp-content/uploads/2023/12/Eesti-mereala-keskkonnaseisundi-hindamise-aruanne.pdf" TargetMode="External"/><Relationship Id="rId92" Type="http://schemas.openxmlformats.org/officeDocument/2006/relationships/hyperlink" Target="https://www.saartekalandus.ee/wp-content/uploads/2023/12/Uhtekuuluvuspoliitika-fondide-rakenduskava-perioodiks-2021-2027.pdf" TargetMode="External"/><Relationship Id="rId2" Type="http://schemas.openxmlformats.org/officeDocument/2006/relationships/numbering" Target="numbering.xml"/><Relationship Id="rId29" Type="http://schemas.openxmlformats.org/officeDocument/2006/relationships/hyperlink" Target="https://www.saartekalandus.ee/wp-content/uploads/2023/10/Regionaalpoliitika-programm-2022-2025_0.pdf" TargetMode="External"/><Relationship Id="rId24" Type="http://schemas.openxmlformats.org/officeDocument/2006/relationships/hyperlink" Target="https://portal.helcom.fi/meetings/FISH-PRO%20III%203-2021-814/Documents/Seals%20cormorants%20and%20coastal%20fish_Bergstrom.pdf" TargetMode="External"/><Relationship Id="rId40" Type="http://schemas.openxmlformats.org/officeDocument/2006/relationships/hyperlink" Target="https://www.riigiteataja.ee/aktilisa/4040/5202/2015/strateegia.pdf" TargetMode="External"/><Relationship Id="rId45" Type="http://schemas.openxmlformats.org/officeDocument/2006/relationships/hyperlink" Target="https://www.riigiteataja.ee/aktilisa/4081/0202/1013/kogukondliku%20tegevuse%20ak.pdf" TargetMode="External"/><Relationship Id="rId66" Type="http://schemas.openxmlformats.org/officeDocument/2006/relationships/hyperlink" Target="https://arenguseire.ee/raportid/tooturg-2035-tooturu-tulevikusuunad-ja-stsenaariumid/" TargetMode="External"/><Relationship Id="rId87" Type="http://schemas.openxmlformats.org/officeDocument/2006/relationships/hyperlink" Target="https://www.saartekalandus.ee/wp-content/uploads/2023/10/Regionaalpoliitika-programm-2022-2025_0.pdf" TargetMode="External"/><Relationship Id="rId110" Type="http://schemas.openxmlformats.org/officeDocument/2006/relationships/hyperlink" Target="https://www.sadamaregister.ee/sadam/2201" TargetMode="External"/><Relationship Id="rId115" Type="http://schemas.openxmlformats.org/officeDocument/2006/relationships/hyperlink" Target="http://www.saaremaavald.ee/" TargetMode="External"/><Relationship Id="rId131" Type="http://schemas.openxmlformats.org/officeDocument/2006/relationships/chart" Target="charts/chart11.xml"/><Relationship Id="rId61" Type="http://schemas.openxmlformats.org/officeDocument/2006/relationships/hyperlink" Target="https://www.riigiteataja.ee/aktilisa/4050/1201/9080/Arengustrat.pdf" TargetMode="External"/><Relationship Id="rId82" Type="http://schemas.openxmlformats.org/officeDocument/2006/relationships/hyperlink" Target="https://jvis.agri.ee/jvis/avalik.html" TargetMode="External"/><Relationship Id="rId19" Type="http://schemas.openxmlformats.org/officeDocument/2006/relationships/image" Target="media/image12.png"/></Relationships>
</file>

<file path=word/_rels/footnotes.xml.rels><?xml version="1.0" encoding="UTF-8" standalone="yes"?>
<Relationships xmlns="http://schemas.openxmlformats.org/package/2006/relationships"><Relationship Id="rId13" Type="http://schemas.openxmlformats.org/officeDocument/2006/relationships/hyperlink" Target="https://www.saaremaavald.ee/documents/17113760/31485073/Saaremaa+rahvastik+ja+rahvastikuprognoos+2022&#8211;2052.pdf/3ee0b626-de77-465d-ba78-8a1ecc676496" TargetMode="External"/><Relationship Id="rId18" Type="http://schemas.openxmlformats.org/officeDocument/2006/relationships/hyperlink" Target="https://palgad.stat.ee/" TargetMode="External"/><Relationship Id="rId26" Type="http://schemas.openxmlformats.org/officeDocument/2006/relationships/hyperlink" Target="https://www.riigiteataja.ee/aktilisa/4051/0202/3051/Lisa1_arengustrateegia2022.pdf" TargetMode="External"/><Relationship Id="rId39" Type="http://schemas.openxmlformats.org/officeDocument/2006/relationships/hyperlink" Target="https://loomus.ee/loe-joonas-plaani-ettekande-avamere-kalakasvatuste-voimalik-keskkonnamoju-uleskirjutus/" TargetMode="External"/><Relationship Id="rId21" Type="http://schemas.openxmlformats.org/officeDocument/2006/relationships/hyperlink" Target="https://juhtimislauad.stat.ee/et/piirkondlik-statistika-3/saare-maakond-68" TargetMode="External"/><Relationship Id="rId34" Type="http://schemas.openxmlformats.org/officeDocument/2006/relationships/hyperlink" Target="https://maakonnaplaneering.ee/wp-content/uploads/2021/10/1_Saare_Seletuskiri.pdf" TargetMode="External"/><Relationship Id="rId42" Type="http://schemas.openxmlformats.org/officeDocument/2006/relationships/hyperlink" Target="https://envir.ee/elusloodus-looduskaitse/kalandus/uuringud-ja-aruanded" TargetMode="External"/><Relationship Id="rId47" Type="http://schemas.openxmlformats.org/officeDocument/2006/relationships/hyperlink" Target="https://www.agri.ee/maaelu-pollumajandus-toiduturg/pollumajandus-ja-toiduturg/ulevaated-ja-statistika?view_instance=0&amp;current_page=1" TargetMode="External"/><Relationship Id="rId50" Type="http://schemas.openxmlformats.org/officeDocument/2006/relationships/hyperlink" Target="Saare%20maakonna%20kestliku%20turismi%20arengustrateegia%202022-2030" TargetMode="External"/><Relationship Id="rId55" Type="http://schemas.openxmlformats.org/officeDocument/2006/relationships/hyperlink" Target="https://www.saartekalandus.ee/wp-content/uploads/2023/08/Kala-ja-kalatoodete-tarbimine.pdf" TargetMode="External"/><Relationship Id="rId7" Type="http://schemas.openxmlformats.org/officeDocument/2006/relationships/hyperlink" Target="https://www.saaremaavald.ee/documents/17113760/31485073/Saare+maakonna+ettev&#245;tluskeskkond+ja+selle+arendamisv&#245;imaluste+anal&#252;&#252;s+(2019).pdf/67dbdd8a-5f85-463d-a97f-c2317eb81fb4" TargetMode="External"/><Relationship Id="rId12" Type="http://schemas.openxmlformats.org/officeDocument/2006/relationships/hyperlink" Target="https://www.saaremaavald.ee/documents/17113760/31485073/Saaremaa+rahvastik+ja+rahvastikuprognoos+2022&#8211;2052.pdf/3ee0b626-de77-465d-ba78-8a1ecc676496" TargetMode="External"/><Relationship Id="rId17" Type="http://schemas.openxmlformats.org/officeDocument/2006/relationships/hyperlink" Target="https://palgad.stat.ee/" TargetMode="External"/><Relationship Id="rId25" Type="http://schemas.openxmlformats.org/officeDocument/2006/relationships/hyperlink" Target="https://www.saaremaavald.ee/documents/17113760/31485073/Saare+maakonna+ettev&#245;tluskeskkond+ja+selle+arendamisv&#245;imaluste+anal&#252;&#252;s+(2019).pdf/67dbdd8a-5f85-463d-a97f-c2317eb81fb4" TargetMode="External"/><Relationship Id="rId33" Type="http://schemas.openxmlformats.org/officeDocument/2006/relationships/hyperlink" Target="https://visitsaaremaa.ee/wp-content/uploads/2022/05/Saare-maakonna-turismi-arengustrateegia.pdf" TargetMode="External"/><Relationship Id="rId38" Type="http://schemas.openxmlformats.org/officeDocument/2006/relationships/hyperlink" Target="https://www.saaremaavald.ee/documents/17113760/31485073/Saare+maakonna+ettev&#245;tluskeskkond+ja+selle+arendamisv&#245;imaluste+anal&#252;&#252;s+(2019).pdf/67dbdd8a-5f85-463d-a97f-c2317eb81fb4" TargetMode="External"/><Relationship Id="rId46" Type="http://schemas.openxmlformats.org/officeDocument/2006/relationships/hyperlink" Target="https://portal.helcom.fi/meetings/FISH-PRO%20III%203-2021-814/Documents/Seals%20cormorants%20and%20coastal%20fish_Bergstrom.pdf" TargetMode="External"/><Relationship Id="rId59" Type="http://schemas.openxmlformats.org/officeDocument/2006/relationships/hyperlink" Target="https://www.riigiteataja.ee/aktilisa/4040/5202/2015/strateegia.pdf" TargetMode="External"/><Relationship Id="rId2" Type="http://schemas.openxmlformats.org/officeDocument/2006/relationships/hyperlink" Target="https://www.agri.ee/regionaalareng-planeeringud/ruumiline-planeerimine/mereala-planeering" TargetMode="External"/><Relationship Id="rId16" Type="http://schemas.openxmlformats.org/officeDocument/2006/relationships/hyperlink" Target="https://www.riigiteataja.ee/aktilisa/4051/0202/3051/Lisa1_arengustrateegia2022.pdf" TargetMode="External"/><Relationship Id="rId20" Type="http://schemas.openxmlformats.org/officeDocument/2006/relationships/hyperlink" Target="https://www.emta.ee/ariklient/amet-uudised-ja-kontakt/uudised-pressiinfo-statistika/statistika-ja-avaandmed" TargetMode="External"/><Relationship Id="rId29" Type="http://schemas.openxmlformats.org/officeDocument/2006/relationships/hyperlink" Target="https://maakonnaplaneering.ee/wp-content/uploads/2021/10/1_Saare_Seletuskiri.pdf" TargetMode="External"/><Relationship Id="rId41" Type="http://schemas.openxmlformats.org/officeDocument/2006/relationships/hyperlink" Target="https://envir.ee/elusloodus-looduskaitse/kalandus/uuringud-ja-aruanded" TargetMode="External"/><Relationship Id="rId54" Type="http://schemas.openxmlformats.org/officeDocument/2006/relationships/hyperlink" Target="http://www.teatmik.ee/" TargetMode="External"/><Relationship Id="rId1" Type="http://schemas.openxmlformats.org/officeDocument/2006/relationships/hyperlink" Target="https://www.agri.ee/euroopa-merendus-kalandus-ja-vesiviljelusfond-2021-2027" TargetMode="External"/><Relationship Id="rId6" Type="http://schemas.openxmlformats.org/officeDocument/2006/relationships/hyperlink" Target="https://www.saartekalandus.ee/wp-content/uploads/2023/12/Vesiviljelus-Eesti-merealal.pdf" TargetMode="External"/><Relationship Id="rId11" Type="http://schemas.openxmlformats.org/officeDocument/2006/relationships/hyperlink" Target="https://www.riigiteataja.ee/aktilisa/4050/1201/9080/Arengustrat.pdf" TargetMode="External"/><Relationship Id="rId24" Type="http://schemas.openxmlformats.org/officeDocument/2006/relationships/hyperlink" Target="https://www.saaremaavald.ee/documents/17113760/31485073/Saare+maakonna+ettev&#245;tjate+rahulolu+uuring+(2019).pdf/562b5641-88c4-4b60-89da-fda330ae32ab" TargetMode="External"/><Relationship Id="rId32" Type="http://schemas.openxmlformats.org/officeDocument/2006/relationships/hyperlink" Target="https://www.saartekalandus.ee/wp-content/uploads/2023/12/Eesti-mereala-keskkonnaseisundi-hindamise-aruanne.pdf" TargetMode="External"/><Relationship Id="rId37" Type="http://schemas.openxmlformats.org/officeDocument/2006/relationships/hyperlink" Target="https://www.saartekalandus.ee/wp-content/uploads/2023/12/Vesiviljelus-Eesti-merealal.pdf" TargetMode="External"/><Relationship Id="rId40" Type="http://schemas.openxmlformats.org/officeDocument/2006/relationships/hyperlink" Target="https://envir.ee/elusloodus-looduskaitse/kalandus" TargetMode="External"/><Relationship Id="rId45" Type="http://schemas.openxmlformats.org/officeDocument/2006/relationships/hyperlink" Target="https://balticfisheries.com/wp-content/uploads/2021/06/EE-meediabulletaan-Final-seminar-Baltic-FLAGs-26.5.2021.pdf" TargetMode="External"/><Relationship Id="rId53" Type="http://schemas.openxmlformats.org/officeDocument/2006/relationships/hyperlink" Target="https://jvis.agri.ee/jvis/avalik.html" TargetMode="External"/><Relationship Id="rId58" Type="http://schemas.openxmlformats.org/officeDocument/2006/relationships/hyperlink" Target="https://www.saartekalandus.ee/wp-content/uploads/2023/10/M_69_2023.pdf" TargetMode="External"/><Relationship Id="rId5" Type="http://schemas.openxmlformats.org/officeDocument/2006/relationships/hyperlink" Target="https://pta.agri.ee/ettevotjale-tootjale-ja-turustajale/kutseline-kalapuuk/puugistatistika" TargetMode="External"/><Relationship Id="rId15" Type="http://schemas.openxmlformats.org/officeDocument/2006/relationships/hyperlink" Target="https://www.riigiteataja.ee/aktilisa/4051/0202/3051/Lisa1_arengustrateegia2022.pdf" TargetMode="External"/><Relationship Id="rId23" Type="http://schemas.openxmlformats.org/officeDocument/2006/relationships/hyperlink" Target="https://www.stat.ee/et/avasta-statistikat/kiirstatistika/ukrainlased-eesti-tooturul" TargetMode="External"/><Relationship Id="rId28" Type="http://schemas.openxmlformats.org/officeDocument/2006/relationships/hyperlink" Target="https://www.saaremaavald.ee/documents/17113760/31485073/Saare+maakonna+ettev&#245;tjate+rahulolu+uuring+(2019).pdf/562b5641-88c4-4b60-89da-fda330ae32ab" TargetMode="External"/><Relationship Id="rId36" Type="http://schemas.openxmlformats.org/officeDocument/2006/relationships/hyperlink" Target="https://www.saartekalandus.ee/wp-content/uploads/2023/12/Projekti-Puugikoormuste-kohandamine-lopparuanne.pdf" TargetMode="External"/><Relationship Id="rId49" Type="http://schemas.openxmlformats.org/officeDocument/2006/relationships/hyperlink" Target="https://www.riigiteataja.ee/aktilisa/4040/5202/2015/strateegia.pdf" TargetMode="External"/><Relationship Id="rId57" Type="http://schemas.openxmlformats.org/officeDocument/2006/relationships/hyperlink" Target="https://www.saartekalandus.ee/wp-content/uploads/2023/10/M_69_2023.pdf" TargetMode="External"/><Relationship Id="rId10" Type="http://schemas.openxmlformats.org/officeDocument/2006/relationships/hyperlink" Target="https://juhtimislauad.stat.ee/et/piirkondlik-statistika-3/saare-maakond-68" TargetMode="External"/><Relationship Id="rId19" Type="http://schemas.openxmlformats.org/officeDocument/2006/relationships/hyperlink" Target="https://www.riigiteataja.ee/aktilisa/4050/1201/9080/Arengustrat.pdf" TargetMode="External"/><Relationship Id="rId31" Type="http://schemas.openxmlformats.org/officeDocument/2006/relationships/hyperlink" Target="https://www.agri.ee/regionaalareng-planeeringud/ruumiline-planeerimine/mereala-planeering" TargetMode="External"/><Relationship Id="rId44" Type="http://schemas.openxmlformats.org/officeDocument/2006/relationships/hyperlink" Target="https://stud.epsilon.slu.se/16455/1/svensson_r_210215.pdf" TargetMode="External"/><Relationship Id="rId52" Type="http://schemas.openxmlformats.org/officeDocument/2006/relationships/hyperlink" Target="https://pta.agri.ee/ettevotjale-tootjale-ja-turustajale/kutseline-kalapuuk/puugistatistika" TargetMode="External"/><Relationship Id="rId4" Type="http://schemas.openxmlformats.org/officeDocument/2006/relationships/hyperlink" Target="https://www.saaremaavald.ee/documents/17113760/31485073/Saare+maakonna+ettev&#245;tluskeskkond+ja+selle+arendamisv&#245;imaluste+anal&#252;&#252;s+(2019).pdf/67dbdd8a-5f85-463d-a97f-c2317eb81fb4" TargetMode="External"/><Relationship Id="rId9" Type="http://schemas.openxmlformats.org/officeDocument/2006/relationships/hyperlink" Target="https://www.riigiteataja.ee/aktilisa/4051/0202/3051/Lisa1_arengustrateegia2022.pdf" TargetMode="External"/><Relationship Id="rId14" Type="http://schemas.openxmlformats.org/officeDocument/2006/relationships/hyperlink" Target="https://www.riigiteataja.ee/aktilisa/4051/0202/3051/Lisa1_arengustrateegia2022.pdf" TargetMode="External"/><Relationship Id="rId22" Type="http://schemas.openxmlformats.org/officeDocument/2006/relationships/hyperlink" Target="https://arenguseire.ee/raportid/tooturg-2035-tooturu-tulevikusuunad-ja-stsenaariumid/" TargetMode="External"/><Relationship Id="rId27" Type="http://schemas.openxmlformats.org/officeDocument/2006/relationships/hyperlink" Target="https://www.riigiteataja.ee/aktilisa/4051/0202/3051/Lisa1_arengustrateegia2022.pdf" TargetMode="External"/><Relationship Id="rId30" Type="http://schemas.openxmlformats.org/officeDocument/2006/relationships/hyperlink" Target="https://visitsaaremaa.ee/wp-content/uploads/2022/05/Saare-maakonna-turismi-arengustrateegia.pdf" TargetMode="External"/><Relationship Id="rId35" Type="http://schemas.openxmlformats.org/officeDocument/2006/relationships/hyperlink" Target="https://visitsaaremaa.ee/wp-content/uploads/2022/05/Saare-maakonna-turismi-arengustrateegia.pdf" TargetMode="External"/><Relationship Id="rId43" Type="http://schemas.openxmlformats.org/officeDocument/2006/relationships/hyperlink" Target="https://envir.ee/elusloodus-looduskaitse/kalandus/uuringud-ja-aruanded" TargetMode="External"/><Relationship Id="rId48" Type="http://schemas.openxmlformats.org/officeDocument/2006/relationships/hyperlink" Target="https://pta.agri.ee/ettevotjale-tootjale-ja-turustajale/kutseline-kalapuuk/puugistatistika" TargetMode="External"/><Relationship Id="rId56" Type="http://schemas.openxmlformats.org/officeDocument/2006/relationships/hyperlink" Target="https://www.saartekalandus.ee/wp-content/uploads/2023/10/M_69_2023.pdf" TargetMode="External"/><Relationship Id="rId8" Type="http://schemas.openxmlformats.org/officeDocument/2006/relationships/hyperlink" Target="https://juhtimislauad.stat.ee/et/piirkondlik-statistika-3/saare-maakond-68" TargetMode="External"/><Relationship Id="rId51" Type="http://schemas.openxmlformats.org/officeDocument/2006/relationships/hyperlink" Target="https://pta.agri.ee/kalalaevade-register-klr" TargetMode="External"/><Relationship Id="rId3" Type="http://schemas.openxmlformats.org/officeDocument/2006/relationships/hyperlink" Target="https://juhtimislauad.stat.ee/et/piirkondlik-statistika-3/saare-maakond-68"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sutaja\Desktop\STRATEEGIA_2021_2027\Strateegia\Lossimised.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t-EE"/>
  <c:roundedCorners val="0"/>
  <c:style val="2"/>
  <c:chart>
    <c:title>
      <c:tx>
        <c:rich>
          <a:bodyPr rot="0"/>
          <a:lstStyle/>
          <a:p>
            <a:pPr>
              <a:defRPr lang="et-EE" sz="1600" b="1" strike="noStrike" spc="-1">
                <a:solidFill>
                  <a:srgbClr val="595959"/>
                </a:solidFill>
                <a:latin typeface="Century Gothic"/>
              </a:defRPr>
            </a:pPr>
            <a:r>
              <a:rPr lang="et-EE" sz="1600" b="1" strike="noStrike" spc="-1">
                <a:solidFill>
                  <a:srgbClr val="595959"/>
                </a:solidFill>
                <a:latin typeface="Century Gothic"/>
              </a:rPr>
              <a:t>Strateegia sadamate nimistusse lisatavate sadamate lossimiskogused tonnides 2019-2022</a:t>
            </a:r>
          </a:p>
        </c:rich>
      </c:tx>
      <c:overlay val="0"/>
      <c:spPr>
        <a:noFill/>
        <a:ln w="0">
          <a:noFill/>
        </a:ln>
      </c:spPr>
    </c:title>
    <c:autoTitleDeleted val="0"/>
    <c:plotArea>
      <c:layout/>
      <c:barChart>
        <c:barDir val="col"/>
        <c:grouping val="clustered"/>
        <c:varyColors val="0"/>
        <c:ser>
          <c:idx val="0"/>
          <c:order val="0"/>
          <c:tx>
            <c:strRef>
              <c:f>label 0</c:f>
              <c:strCache>
                <c:ptCount val="1"/>
                <c:pt idx="0">
                  <c:v>2019</c:v>
                </c:pt>
              </c:strCache>
            </c:strRef>
          </c:tx>
          <c:spPr>
            <a:gradFill>
              <a:gsLst>
                <a:gs pos="0">
                  <a:srgbClr val="F08C56"/>
                </a:gs>
                <a:gs pos="50000">
                  <a:srgbClr val="F57A27"/>
                </a:gs>
                <a:gs pos="100000">
                  <a:srgbClr val="E46B19"/>
                </a:gs>
              </a:gsLst>
              <a:lin ang="5400000"/>
            </a:gradFill>
            <a:ln w="0">
              <a:noFill/>
            </a:ln>
          </c:spPr>
          <c:invertIfNegative val="0"/>
          <c:dLbls>
            <c:spPr>
              <a:noFill/>
              <a:ln>
                <a:noFill/>
              </a:ln>
              <a:effectLst/>
            </c:spPr>
            <c:txPr>
              <a:bodyPr wrap="square"/>
              <a:lstStyle/>
              <a:p>
                <a:pPr>
                  <a:defRPr sz="1000" b="0" strike="noStrike" spc="-1">
                    <a:solidFill>
                      <a:srgbClr val="000000"/>
                    </a:solidFill>
                    <a:latin typeface="Century Gothic"/>
                  </a:defRPr>
                </a:pPr>
                <a:endParaRPr lang="et-EE"/>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Nasva jõesadam</c:v>
                </c:pt>
                <c:pt idx="1">
                  <c:v>Uisusadam</c:v>
                </c:pt>
                <c:pt idx="2">
                  <c:v>Muratsi sadam</c:v>
                </c:pt>
                <c:pt idx="3">
                  <c:v>Turja sadam</c:v>
                </c:pt>
                <c:pt idx="4">
                  <c:v>Tori jõesadam</c:v>
                </c:pt>
              </c:strCache>
            </c:strRef>
          </c:cat>
          <c:val>
            <c:numRef>
              <c:f>0</c:f>
              <c:numCache>
                <c:formatCode>General</c:formatCode>
                <c:ptCount val="5"/>
                <c:pt idx="0">
                  <c:v>257.452</c:v>
                </c:pt>
                <c:pt idx="1">
                  <c:v>16.593</c:v>
                </c:pt>
                <c:pt idx="2">
                  <c:v>17.986000000000001</c:v>
                </c:pt>
                <c:pt idx="3">
                  <c:v>15.132</c:v>
                </c:pt>
                <c:pt idx="4">
                  <c:v>11.641999999999999</c:v>
                </c:pt>
              </c:numCache>
            </c:numRef>
          </c:val>
          <c:extLst>
            <c:ext xmlns:c16="http://schemas.microsoft.com/office/drawing/2014/chart" uri="{C3380CC4-5D6E-409C-BE32-E72D297353CC}">
              <c16:uniqueId val="{00000000-EE09-42BC-A306-E7EBB654D3D5}"/>
            </c:ext>
          </c:extLst>
        </c:ser>
        <c:ser>
          <c:idx val="1"/>
          <c:order val="1"/>
          <c:tx>
            <c:strRef>
              <c:f>label 1</c:f>
              <c:strCache>
                <c:ptCount val="1"/>
                <c:pt idx="0">
                  <c:v>2020</c:v>
                </c:pt>
              </c:strCache>
            </c:strRef>
          </c:tx>
          <c:spPr>
            <a:gradFill>
              <a:gsLst>
                <a:gs pos="0">
                  <a:srgbClr val="FFC54B"/>
                </a:gs>
                <a:gs pos="50000">
                  <a:srgbClr val="FFBF00"/>
                </a:gs>
                <a:gs pos="100000">
                  <a:srgbClr val="E2AA00"/>
                </a:gs>
              </a:gsLst>
              <a:lin ang="5400000"/>
            </a:gradFill>
            <a:ln w="0">
              <a:noFill/>
            </a:ln>
          </c:spPr>
          <c:invertIfNegative val="0"/>
          <c:dLbls>
            <c:spPr>
              <a:noFill/>
              <a:ln>
                <a:noFill/>
              </a:ln>
              <a:effectLst/>
            </c:spPr>
            <c:txPr>
              <a:bodyPr wrap="square"/>
              <a:lstStyle/>
              <a:p>
                <a:pPr>
                  <a:defRPr sz="1000" b="0" strike="noStrike" spc="-1">
                    <a:solidFill>
                      <a:srgbClr val="000000"/>
                    </a:solidFill>
                    <a:latin typeface="Century Gothic"/>
                  </a:defRPr>
                </a:pPr>
                <a:endParaRPr lang="et-EE"/>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Nasva jõesadam</c:v>
                </c:pt>
                <c:pt idx="1">
                  <c:v>Uisusadam</c:v>
                </c:pt>
                <c:pt idx="2">
                  <c:v>Muratsi sadam</c:v>
                </c:pt>
                <c:pt idx="3">
                  <c:v>Turja sadam</c:v>
                </c:pt>
                <c:pt idx="4">
                  <c:v>Tori jõesadam</c:v>
                </c:pt>
              </c:strCache>
            </c:strRef>
          </c:cat>
          <c:val>
            <c:numRef>
              <c:f>1</c:f>
              <c:numCache>
                <c:formatCode>General</c:formatCode>
                <c:ptCount val="5"/>
                <c:pt idx="0">
                  <c:v>140.31299999999999</c:v>
                </c:pt>
                <c:pt idx="1">
                  <c:v>25.093</c:v>
                </c:pt>
                <c:pt idx="2">
                  <c:v>18.727</c:v>
                </c:pt>
                <c:pt idx="3">
                  <c:v>10.432</c:v>
                </c:pt>
                <c:pt idx="4">
                  <c:v>15.843999999999999</c:v>
                </c:pt>
              </c:numCache>
            </c:numRef>
          </c:val>
          <c:extLst>
            <c:ext xmlns:c16="http://schemas.microsoft.com/office/drawing/2014/chart" uri="{C3380CC4-5D6E-409C-BE32-E72D297353CC}">
              <c16:uniqueId val="{00000001-EE09-42BC-A306-E7EBB654D3D5}"/>
            </c:ext>
          </c:extLst>
        </c:ser>
        <c:ser>
          <c:idx val="2"/>
          <c:order val="2"/>
          <c:tx>
            <c:strRef>
              <c:f>label 2</c:f>
              <c:strCache>
                <c:ptCount val="1"/>
                <c:pt idx="0">
                  <c:v>2021</c:v>
                </c:pt>
              </c:strCache>
            </c:strRef>
          </c:tx>
          <c:spPr>
            <a:gradFill>
              <a:gsLst>
                <a:gs pos="0">
                  <a:srgbClr val="80B761"/>
                </a:gs>
                <a:gs pos="50000">
                  <a:srgbClr val="6FB142"/>
                </a:gs>
                <a:gs pos="100000">
                  <a:srgbClr val="61A235"/>
                </a:gs>
              </a:gsLst>
              <a:lin ang="5400000"/>
            </a:gradFill>
            <a:ln w="0">
              <a:noFill/>
            </a:ln>
          </c:spPr>
          <c:invertIfNegative val="0"/>
          <c:dLbls>
            <c:spPr>
              <a:noFill/>
              <a:ln>
                <a:noFill/>
              </a:ln>
              <a:effectLst/>
            </c:spPr>
            <c:txPr>
              <a:bodyPr wrap="square"/>
              <a:lstStyle/>
              <a:p>
                <a:pPr>
                  <a:defRPr sz="1000" b="0" strike="noStrike" spc="-1">
                    <a:solidFill>
                      <a:srgbClr val="000000"/>
                    </a:solidFill>
                    <a:latin typeface="Century Gothic"/>
                  </a:defRPr>
                </a:pPr>
                <a:endParaRPr lang="et-EE"/>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Nasva jõesadam</c:v>
                </c:pt>
                <c:pt idx="1">
                  <c:v>Uisusadam</c:v>
                </c:pt>
                <c:pt idx="2">
                  <c:v>Muratsi sadam</c:v>
                </c:pt>
                <c:pt idx="3">
                  <c:v>Turja sadam</c:v>
                </c:pt>
                <c:pt idx="4">
                  <c:v>Tori jõesadam</c:v>
                </c:pt>
              </c:strCache>
            </c:strRef>
          </c:cat>
          <c:val>
            <c:numRef>
              <c:f>2</c:f>
              <c:numCache>
                <c:formatCode>General</c:formatCode>
                <c:ptCount val="5"/>
                <c:pt idx="0">
                  <c:v>119.89100000000001</c:v>
                </c:pt>
                <c:pt idx="1">
                  <c:v>23.789000000000001</c:v>
                </c:pt>
                <c:pt idx="2">
                  <c:v>17.248000000000001</c:v>
                </c:pt>
                <c:pt idx="3">
                  <c:v>8.6720000000000006</c:v>
                </c:pt>
                <c:pt idx="4">
                  <c:v>9.8889999999999993</c:v>
                </c:pt>
              </c:numCache>
            </c:numRef>
          </c:val>
          <c:extLst>
            <c:ext xmlns:c16="http://schemas.microsoft.com/office/drawing/2014/chart" uri="{C3380CC4-5D6E-409C-BE32-E72D297353CC}">
              <c16:uniqueId val="{00000002-EE09-42BC-A306-E7EBB654D3D5}"/>
            </c:ext>
          </c:extLst>
        </c:ser>
        <c:ser>
          <c:idx val="3"/>
          <c:order val="3"/>
          <c:tx>
            <c:strRef>
              <c:f>label 3</c:f>
              <c:strCache>
                <c:ptCount val="1"/>
                <c:pt idx="0">
                  <c:v>2022</c:v>
                </c:pt>
              </c:strCache>
            </c:strRef>
          </c:tx>
          <c:spPr>
            <a:gradFill>
              <a:gsLst>
                <a:gs pos="0">
                  <a:srgbClr val="AA624B"/>
                </a:gs>
                <a:gs pos="50000">
                  <a:srgbClr val="A44707"/>
                </a:gs>
                <a:gs pos="100000">
                  <a:srgbClr val="983D00"/>
                </a:gs>
              </a:gsLst>
              <a:lin ang="5400000"/>
            </a:gradFill>
            <a:ln w="0">
              <a:noFill/>
            </a:ln>
          </c:spPr>
          <c:invertIfNegative val="0"/>
          <c:dLbls>
            <c:spPr>
              <a:noFill/>
              <a:ln>
                <a:noFill/>
              </a:ln>
              <a:effectLst/>
            </c:spPr>
            <c:txPr>
              <a:bodyPr wrap="square"/>
              <a:lstStyle/>
              <a:p>
                <a:pPr>
                  <a:defRPr sz="1000" b="0" strike="noStrike" spc="-1">
                    <a:solidFill>
                      <a:srgbClr val="000000"/>
                    </a:solidFill>
                    <a:latin typeface="Century Gothic"/>
                  </a:defRPr>
                </a:pPr>
                <a:endParaRPr lang="et-EE"/>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Nasva jõesadam</c:v>
                </c:pt>
                <c:pt idx="1">
                  <c:v>Uisusadam</c:v>
                </c:pt>
                <c:pt idx="2">
                  <c:v>Muratsi sadam</c:v>
                </c:pt>
                <c:pt idx="3">
                  <c:v>Turja sadam</c:v>
                </c:pt>
                <c:pt idx="4">
                  <c:v>Tori jõesadam</c:v>
                </c:pt>
              </c:strCache>
            </c:strRef>
          </c:cat>
          <c:val>
            <c:numRef>
              <c:f>3</c:f>
              <c:numCache>
                <c:formatCode>General</c:formatCode>
                <c:ptCount val="5"/>
                <c:pt idx="0">
                  <c:v>133.732</c:v>
                </c:pt>
                <c:pt idx="1">
                  <c:v>20.576000000000001</c:v>
                </c:pt>
                <c:pt idx="2">
                  <c:v>15.787000000000001</c:v>
                </c:pt>
                <c:pt idx="3">
                  <c:v>16.597999999999999</c:v>
                </c:pt>
                <c:pt idx="4">
                  <c:v>12.426</c:v>
                </c:pt>
              </c:numCache>
            </c:numRef>
          </c:val>
          <c:extLst>
            <c:ext xmlns:c16="http://schemas.microsoft.com/office/drawing/2014/chart" uri="{C3380CC4-5D6E-409C-BE32-E72D297353CC}">
              <c16:uniqueId val="{00000003-EE09-42BC-A306-E7EBB654D3D5}"/>
            </c:ext>
          </c:extLst>
        </c:ser>
        <c:dLbls>
          <c:showLegendKey val="0"/>
          <c:showVal val="0"/>
          <c:showCatName val="0"/>
          <c:showSerName val="0"/>
          <c:showPercent val="0"/>
          <c:showBubbleSize val="0"/>
        </c:dLbls>
        <c:gapWidth val="100"/>
        <c:overlap val="-24"/>
        <c:axId val="53914382"/>
        <c:axId val="51630664"/>
      </c:barChart>
      <c:catAx>
        <c:axId val="53914382"/>
        <c:scaling>
          <c:orientation val="minMax"/>
        </c:scaling>
        <c:delete val="0"/>
        <c:axPos val="b"/>
        <c:numFmt formatCode="General" sourceLinked="0"/>
        <c:majorTickMark val="none"/>
        <c:minorTickMark val="none"/>
        <c:tickLblPos val="nextTo"/>
        <c:spPr>
          <a:ln w="12600">
            <a:solidFill>
              <a:srgbClr val="D9D9D9"/>
            </a:solidFill>
            <a:round/>
          </a:ln>
        </c:spPr>
        <c:txPr>
          <a:bodyPr/>
          <a:lstStyle/>
          <a:p>
            <a:pPr>
              <a:defRPr sz="900" b="0" strike="noStrike" spc="-1">
                <a:solidFill>
                  <a:srgbClr val="595959"/>
                </a:solidFill>
                <a:latin typeface="Century Gothic"/>
              </a:defRPr>
            </a:pPr>
            <a:endParaRPr lang="et-EE"/>
          </a:p>
        </c:txPr>
        <c:crossAx val="51630664"/>
        <c:crosses val="autoZero"/>
        <c:auto val="1"/>
        <c:lblAlgn val="ctr"/>
        <c:lblOffset val="100"/>
        <c:noMultiLvlLbl val="0"/>
      </c:catAx>
      <c:valAx>
        <c:axId val="51630664"/>
        <c:scaling>
          <c:orientation val="minMax"/>
        </c:scaling>
        <c:delete val="0"/>
        <c:axPos val="l"/>
        <c:majorGridlines>
          <c:spPr>
            <a:ln w="9360">
              <a:solidFill>
                <a:srgbClr val="D9D9D9"/>
              </a:solidFill>
              <a:round/>
            </a:ln>
          </c:spPr>
        </c:majorGridlines>
        <c:title>
          <c:tx>
            <c:rich>
              <a:bodyPr rot="-5400000"/>
              <a:lstStyle/>
              <a:p>
                <a:pPr>
                  <a:defRPr lang="et-EE" sz="900" b="0" strike="noStrike" spc="-1">
                    <a:solidFill>
                      <a:srgbClr val="595959"/>
                    </a:solidFill>
                    <a:latin typeface="Century Gothic"/>
                  </a:defRPr>
                </a:pPr>
                <a:r>
                  <a:rPr lang="et-EE" sz="900" b="0" strike="noStrike" spc="-1">
                    <a:solidFill>
                      <a:srgbClr val="595959"/>
                    </a:solidFill>
                    <a:latin typeface="Century Gothic"/>
                  </a:rPr>
                  <a:t>Tonni</a:t>
                </a:r>
              </a:p>
            </c:rich>
          </c:tx>
          <c:overlay val="0"/>
          <c:spPr>
            <a:noFill/>
            <a:ln w="0">
              <a:noFill/>
            </a:ln>
          </c:spPr>
        </c:title>
        <c:numFmt formatCode="General" sourceLinked="0"/>
        <c:majorTickMark val="none"/>
        <c:minorTickMark val="none"/>
        <c:tickLblPos val="nextTo"/>
        <c:spPr>
          <a:ln w="6480">
            <a:noFill/>
          </a:ln>
        </c:spPr>
        <c:txPr>
          <a:bodyPr/>
          <a:lstStyle/>
          <a:p>
            <a:pPr>
              <a:defRPr sz="900" b="0" strike="noStrike" spc="-1">
                <a:solidFill>
                  <a:srgbClr val="595959"/>
                </a:solidFill>
                <a:latin typeface="Century Gothic"/>
              </a:defRPr>
            </a:pPr>
            <a:endParaRPr lang="et-EE"/>
          </a:p>
        </c:txPr>
        <c:crossAx val="53914382"/>
        <c:crosses val="autoZero"/>
        <c:crossBetween val="between"/>
      </c:valAx>
      <c:dTable>
        <c:showHorzBorder val="1"/>
        <c:showVertBorder val="1"/>
        <c:showOutline val="1"/>
        <c:showKeys val="1"/>
        <c:spPr>
          <a:noFill/>
          <a:ln w="9360">
            <a:solidFill>
              <a:srgbClr val="D9D9D9"/>
            </a:solidFill>
            <a:round/>
          </a:ln>
        </c:spPr>
        <c:txPr>
          <a:bodyPr/>
          <a:lstStyle/>
          <a:p>
            <a:pPr rtl="0">
              <a:defRPr sz="900" b="0" strike="noStrike" spc="-1">
                <a:solidFill>
                  <a:srgbClr val="595959"/>
                </a:solidFill>
                <a:latin typeface="Century Gothic"/>
              </a:defRPr>
            </a:pPr>
            <a:endParaRPr lang="et-EE"/>
          </a:p>
        </c:txPr>
      </c:dTable>
      <c:spPr>
        <a:noFill/>
        <a:ln w="0">
          <a:noFill/>
        </a:ln>
      </c:spPr>
    </c:plotArea>
    <c:legend>
      <c:legendPos val="b"/>
      <c:overlay val="0"/>
      <c:spPr>
        <a:noFill/>
        <a:ln w="0">
          <a:noFill/>
        </a:ln>
      </c:spPr>
      <c:txPr>
        <a:bodyPr/>
        <a:lstStyle/>
        <a:p>
          <a:pPr>
            <a:defRPr sz="900" b="0" strike="noStrike" spc="-1">
              <a:solidFill>
                <a:srgbClr val="595959"/>
              </a:solidFill>
              <a:latin typeface="Century Gothic"/>
            </a:defRPr>
          </a:pPr>
          <a:endParaRPr lang="et-EE"/>
        </a:p>
      </c:txPr>
    </c:legend>
    <c:plotVisOnly val="1"/>
    <c:dispBlanksAs val="gap"/>
    <c:showDLblsOverMax val="1"/>
  </c:chart>
  <c:spPr>
    <a:solidFill>
      <a:srgbClr val="FFFFFF"/>
    </a:solid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Pöide piirkonna lossimised (kg)  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6225144715021275"/>
          <c:y val="9.2434682002787066E-2"/>
          <c:w val="0.78082295356959552"/>
          <c:h val="0.76764498782677748"/>
        </c:manualLayout>
      </c:layout>
      <c:barChart>
        <c:barDir val="bar"/>
        <c:grouping val="clustered"/>
        <c:varyColors val="0"/>
        <c:ser>
          <c:idx val="0"/>
          <c:order val="0"/>
          <c:tx>
            <c:strRef>
              <c:f>Leht3!$B$107</c:f>
              <c:strCache>
                <c:ptCount val="1"/>
                <c:pt idx="0">
                  <c:v>2016</c:v>
                </c:pt>
              </c:strCache>
            </c:strRef>
          </c:tx>
          <c:spPr>
            <a:solidFill>
              <a:schemeClr val="accent1"/>
            </a:solidFill>
            <a:ln>
              <a:noFill/>
            </a:ln>
            <a:effectLst/>
          </c:spPr>
          <c:invertIfNegative val="0"/>
          <c:cat>
            <c:strRef>
              <c:f>Leht3!$A$108:$A$117</c:f>
              <c:strCache>
                <c:ptCount val="10"/>
                <c:pt idx="0">
                  <c:v>Kaldu sadam</c:v>
                </c:pt>
                <c:pt idx="1">
                  <c:v>Kübassaare</c:v>
                </c:pt>
                <c:pt idx="2">
                  <c:v>Lõpesuu sadam</c:v>
                </c:pt>
                <c:pt idx="3">
                  <c:v>Nenu</c:v>
                </c:pt>
                <c:pt idx="4">
                  <c:v>Pae sadam</c:v>
                </c:pt>
                <c:pt idx="5">
                  <c:v>Sitme</c:v>
                </c:pt>
                <c:pt idx="6">
                  <c:v>Ulle</c:v>
                </c:pt>
                <c:pt idx="7">
                  <c:v>Undu</c:v>
                </c:pt>
                <c:pt idx="8">
                  <c:v>Unguma sadam</c:v>
                </c:pt>
                <c:pt idx="9">
                  <c:v>Valmeranna sadam</c:v>
                </c:pt>
              </c:strCache>
            </c:strRef>
          </c:cat>
          <c:val>
            <c:numRef>
              <c:f>Leht3!$B$108:$B$117</c:f>
              <c:numCache>
                <c:formatCode>0.00</c:formatCode>
                <c:ptCount val="10"/>
                <c:pt idx="0">
                  <c:v>10925</c:v>
                </c:pt>
                <c:pt idx="1">
                  <c:v>6182</c:v>
                </c:pt>
                <c:pt idx="2">
                  <c:v>203</c:v>
                </c:pt>
                <c:pt idx="3">
                  <c:v>130</c:v>
                </c:pt>
                <c:pt idx="4">
                  <c:v>838</c:v>
                </c:pt>
                <c:pt idx="5">
                  <c:v>902</c:v>
                </c:pt>
                <c:pt idx="6">
                  <c:v>2240.1</c:v>
                </c:pt>
                <c:pt idx="7">
                  <c:v>10793.8</c:v>
                </c:pt>
                <c:pt idx="8">
                  <c:v>2650</c:v>
                </c:pt>
                <c:pt idx="9">
                  <c:v>750</c:v>
                </c:pt>
              </c:numCache>
            </c:numRef>
          </c:val>
          <c:extLst>
            <c:ext xmlns:c16="http://schemas.microsoft.com/office/drawing/2014/chart" uri="{C3380CC4-5D6E-409C-BE32-E72D297353CC}">
              <c16:uniqueId val="{00000000-882B-4FC5-A7DB-94083F5DCE8D}"/>
            </c:ext>
          </c:extLst>
        </c:ser>
        <c:ser>
          <c:idx val="1"/>
          <c:order val="1"/>
          <c:tx>
            <c:strRef>
              <c:f>Leht3!$C$107</c:f>
              <c:strCache>
                <c:ptCount val="1"/>
                <c:pt idx="0">
                  <c:v>2017</c:v>
                </c:pt>
              </c:strCache>
            </c:strRef>
          </c:tx>
          <c:spPr>
            <a:solidFill>
              <a:schemeClr val="accent2"/>
            </a:solidFill>
            <a:ln>
              <a:noFill/>
            </a:ln>
            <a:effectLst/>
          </c:spPr>
          <c:invertIfNegative val="0"/>
          <c:cat>
            <c:strRef>
              <c:f>Leht3!$A$108:$A$117</c:f>
              <c:strCache>
                <c:ptCount val="10"/>
                <c:pt idx="0">
                  <c:v>Kaldu sadam</c:v>
                </c:pt>
                <c:pt idx="1">
                  <c:v>Kübassaare</c:v>
                </c:pt>
                <c:pt idx="2">
                  <c:v>Lõpesuu sadam</c:v>
                </c:pt>
                <c:pt idx="3">
                  <c:v>Nenu</c:v>
                </c:pt>
                <c:pt idx="4">
                  <c:v>Pae sadam</c:v>
                </c:pt>
                <c:pt idx="5">
                  <c:v>Sitme</c:v>
                </c:pt>
                <c:pt idx="6">
                  <c:v>Ulle</c:v>
                </c:pt>
                <c:pt idx="7">
                  <c:v>Undu</c:v>
                </c:pt>
                <c:pt idx="8">
                  <c:v>Unguma sadam</c:v>
                </c:pt>
                <c:pt idx="9">
                  <c:v>Valmeranna sadam</c:v>
                </c:pt>
              </c:strCache>
            </c:strRef>
          </c:cat>
          <c:val>
            <c:numRef>
              <c:f>Leht3!$C$108:$C$117</c:f>
              <c:numCache>
                <c:formatCode>0.00</c:formatCode>
                <c:ptCount val="10"/>
                <c:pt idx="0">
                  <c:v>11701</c:v>
                </c:pt>
                <c:pt idx="1">
                  <c:v>7446.5</c:v>
                </c:pt>
                <c:pt idx="2">
                  <c:v>0</c:v>
                </c:pt>
                <c:pt idx="3">
                  <c:v>1062.3</c:v>
                </c:pt>
                <c:pt idx="4">
                  <c:v>2107</c:v>
                </c:pt>
                <c:pt idx="5">
                  <c:v>3200.5</c:v>
                </c:pt>
                <c:pt idx="6">
                  <c:v>789</c:v>
                </c:pt>
                <c:pt idx="7">
                  <c:v>10118.200000000001</c:v>
                </c:pt>
                <c:pt idx="8">
                  <c:v>2939</c:v>
                </c:pt>
                <c:pt idx="9">
                  <c:v>1011.5</c:v>
                </c:pt>
              </c:numCache>
            </c:numRef>
          </c:val>
          <c:extLst>
            <c:ext xmlns:c16="http://schemas.microsoft.com/office/drawing/2014/chart" uri="{C3380CC4-5D6E-409C-BE32-E72D297353CC}">
              <c16:uniqueId val="{00000001-882B-4FC5-A7DB-94083F5DCE8D}"/>
            </c:ext>
          </c:extLst>
        </c:ser>
        <c:ser>
          <c:idx val="2"/>
          <c:order val="2"/>
          <c:tx>
            <c:strRef>
              <c:f>Leht3!$D$107</c:f>
              <c:strCache>
                <c:ptCount val="1"/>
                <c:pt idx="0">
                  <c:v>2018</c:v>
                </c:pt>
              </c:strCache>
            </c:strRef>
          </c:tx>
          <c:spPr>
            <a:solidFill>
              <a:schemeClr val="accent3"/>
            </a:solidFill>
            <a:ln>
              <a:noFill/>
            </a:ln>
            <a:effectLst/>
          </c:spPr>
          <c:invertIfNegative val="0"/>
          <c:cat>
            <c:strRef>
              <c:f>Leht3!$A$108:$A$117</c:f>
              <c:strCache>
                <c:ptCount val="10"/>
                <c:pt idx="0">
                  <c:v>Kaldu sadam</c:v>
                </c:pt>
                <c:pt idx="1">
                  <c:v>Kübassaare</c:v>
                </c:pt>
                <c:pt idx="2">
                  <c:v>Lõpesuu sadam</c:v>
                </c:pt>
                <c:pt idx="3">
                  <c:v>Nenu</c:v>
                </c:pt>
                <c:pt idx="4">
                  <c:v>Pae sadam</c:v>
                </c:pt>
                <c:pt idx="5">
                  <c:v>Sitme</c:v>
                </c:pt>
                <c:pt idx="6">
                  <c:v>Ulle</c:v>
                </c:pt>
                <c:pt idx="7">
                  <c:v>Undu</c:v>
                </c:pt>
                <c:pt idx="8">
                  <c:v>Unguma sadam</c:v>
                </c:pt>
                <c:pt idx="9">
                  <c:v>Valmeranna sadam</c:v>
                </c:pt>
              </c:strCache>
            </c:strRef>
          </c:cat>
          <c:val>
            <c:numRef>
              <c:f>Leht3!$D$108:$D$117</c:f>
              <c:numCache>
                <c:formatCode>0.00</c:formatCode>
                <c:ptCount val="10"/>
                <c:pt idx="0">
                  <c:v>14309</c:v>
                </c:pt>
                <c:pt idx="1">
                  <c:v>9668.5</c:v>
                </c:pt>
                <c:pt idx="2">
                  <c:v>0</c:v>
                </c:pt>
                <c:pt idx="3">
                  <c:v>15472.6</c:v>
                </c:pt>
                <c:pt idx="4">
                  <c:v>1602.5</c:v>
                </c:pt>
                <c:pt idx="5">
                  <c:v>202.5</c:v>
                </c:pt>
                <c:pt idx="6">
                  <c:v>212</c:v>
                </c:pt>
                <c:pt idx="7">
                  <c:v>11342</c:v>
                </c:pt>
                <c:pt idx="8">
                  <c:v>3659</c:v>
                </c:pt>
                <c:pt idx="9">
                  <c:v>0</c:v>
                </c:pt>
              </c:numCache>
            </c:numRef>
          </c:val>
          <c:extLst>
            <c:ext xmlns:c16="http://schemas.microsoft.com/office/drawing/2014/chart" uri="{C3380CC4-5D6E-409C-BE32-E72D297353CC}">
              <c16:uniqueId val="{00000002-882B-4FC5-A7DB-94083F5DCE8D}"/>
            </c:ext>
          </c:extLst>
        </c:ser>
        <c:ser>
          <c:idx val="3"/>
          <c:order val="3"/>
          <c:tx>
            <c:strRef>
              <c:f>Leht3!$E$107</c:f>
              <c:strCache>
                <c:ptCount val="1"/>
                <c:pt idx="0">
                  <c:v>2019</c:v>
                </c:pt>
              </c:strCache>
            </c:strRef>
          </c:tx>
          <c:spPr>
            <a:solidFill>
              <a:schemeClr val="accent4"/>
            </a:solidFill>
            <a:ln>
              <a:noFill/>
            </a:ln>
            <a:effectLst/>
          </c:spPr>
          <c:invertIfNegative val="0"/>
          <c:cat>
            <c:strRef>
              <c:f>Leht3!$A$108:$A$117</c:f>
              <c:strCache>
                <c:ptCount val="10"/>
                <c:pt idx="0">
                  <c:v>Kaldu sadam</c:v>
                </c:pt>
                <c:pt idx="1">
                  <c:v>Kübassaare</c:v>
                </c:pt>
                <c:pt idx="2">
                  <c:v>Lõpesuu sadam</c:v>
                </c:pt>
                <c:pt idx="3">
                  <c:v>Nenu</c:v>
                </c:pt>
                <c:pt idx="4">
                  <c:v>Pae sadam</c:v>
                </c:pt>
                <c:pt idx="5">
                  <c:v>Sitme</c:v>
                </c:pt>
                <c:pt idx="6">
                  <c:v>Ulle</c:v>
                </c:pt>
                <c:pt idx="7">
                  <c:v>Undu</c:v>
                </c:pt>
                <c:pt idx="8">
                  <c:v>Unguma sadam</c:v>
                </c:pt>
                <c:pt idx="9">
                  <c:v>Valmeranna sadam</c:v>
                </c:pt>
              </c:strCache>
            </c:strRef>
          </c:cat>
          <c:val>
            <c:numRef>
              <c:f>Leht3!$E$108:$E$117</c:f>
              <c:numCache>
                <c:formatCode>0.00</c:formatCode>
                <c:ptCount val="10"/>
                <c:pt idx="0">
                  <c:v>13428</c:v>
                </c:pt>
                <c:pt idx="1">
                  <c:v>7952</c:v>
                </c:pt>
                <c:pt idx="2">
                  <c:v>0</c:v>
                </c:pt>
                <c:pt idx="3">
                  <c:v>18415.900000000001</c:v>
                </c:pt>
                <c:pt idx="4">
                  <c:v>1385.5</c:v>
                </c:pt>
                <c:pt idx="5">
                  <c:v>3500</c:v>
                </c:pt>
                <c:pt idx="6">
                  <c:v>78.099999999999994</c:v>
                </c:pt>
                <c:pt idx="7">
                  <c:v>12210.4</c:v>
                </c:pt>
                <c:pt idx="8">
                  <c:v>2174</c:v>
                </c:pt>
                <c:pt idx="9">
                  <c:v>1298</c:v>
                </c:pt>
              </c:numCache>
            </c:numRef>
          </c:val>
          <c:extLst>
            <c:ext xmlns:c16="http://schemas.microsoft.com/office/drawing/2014/chart" uri="{C3380CC4-5D6E-409C-BE32-E72D297353CC}">
              <c16:uniqueId val="{00000003-882B-4FC5-A7DB-94083F5DCE8D}"/>
            </c:ext>
          </c:extLst>
        </c:ser>
        <c:ser>
          <c:idx val="4"/>
          <c:order val="4"/>
          <c:tx>
            <c:strRef>
              <c:f>Leht3!$F$107</c:f>
              <c:strCache>
                <c:ptCount val="1"/>
                <c:pt idx="0">
                  <c:v>2020</c:v>
                </c:pt>
              </c:strCache>
            </c:strRef>
          </c:tx>
          <c:spPr>
            <a:solidFill>
              <a:schemeClr val="accent5"/>
            </a:solidFill>
            <a:ln>
              <a:noFill/>
            </a:ln>
            <a:effectLst/>
          </c:spPr>
          <c:invertIfNegative val="0"/>
          <c:cat>
            <c:strRef>
              <c:f>Leht3!$A$108:$A$117</c:f>
              <c:strCache>
                <c:ptCount val="10"/>
                <c:pt idx="0">
                  <c:v>Kaldu sadam</c:v>
                </c:pt>
                <c:pt idx="1">
                  <c:v>Kübassaare</c:v>
                </c:pt>
                <c:pt idx="2">
                  <c:v>Lõpesuu sadam</c:v>
                </c:pt>
                <c:pt idx="3">
                  <c:v>Nenu</c:v>
                </c:pt>
                <c:pt idx="4">
                  <c:v>Pae sadam</c:v>
                </c:pt>
                <c:pt idx="5">
                  <c:v>Sitme</c:v>
                </c:pt>
                <c:pt idx="6">
                  <c:v>Ulle</c:v>
                </c:pt>
                <c:pt idx="7">
                  <c:v>Undu</c:v>
                </c:pt>
                <c:pt idx="8">
                  <c:v>Unguma sadam</c:v>
                </c:pt>
                <c:pt idx="9">
                  <c:v>Valmeranna sadam</c:v>
                </c:pt>
              </c:strCache>
            </c:strRef>
          </c:cat>
          <c:val>
            <c:numRef>
              <c:f>Leht3!$F$108:$F$117</c:f>
              <c:numCache>
                <c:formatCode>0.00</c:formatCode>
                <c:ptCount val="10"/>
                <c:pt idx="0">
                  <c:v>11941</c:v>
                </c:pt>
                <c:pt idx="1">
                  <c:v>5602</c:v>
                </c:pt>
                <c:pt idx="2">
                  <c:v>0</c:v>
                </c:pt>
                <c:pt idx="3">
                  <c:v>13654</c:v>
                </c:pt>
                <c:pt idx="4">
                  <c:v>662</c:v>
                </c:pt>
                <c:pt idx="5">
                  <c:v>63</c:v>
                </c:pt>
                <c:pt idx="6">
                  <c:v>369</c:v>
                </c:pt>
                <c:pt idx="7">
                  <c:v>8925</c:v>
                </c:pt>
                <c:pt idx="8">
                  <c:v>3689</c:v>
                </c:pt>
                <c:pt idx="9">
                  <c:v>1192</c:v>
                </c:pt>
              </c:numCache>
            </c:numRef>
          </c:val>
          <c:extLst>
            <c:ext xmlns:c16="http://schemas.microsoft.com/office/drawing/2014/chart" uri="{C3380CC4-5D6E-409C-BE32-E72D297353CC}">
              <c16:uniqueId val="{00000004-882B-4FC5-A7DB-94083F5DCE8D}"/>
            </c:ext>
          </c:extLst>
        </c:ser>
        <c:ser>
          <c:idx val="5"/>
          <c:order val="5"/>
          <c:tx>
            <c:strRef>
              <c:f>Leht3!$G$107</c:f>
              <c:strCache>
                <c:ptCount val="1"/>
                <c:pt idx="0">
                  <c:v>2021</c:v>
                </c:pt>
              </c:strCache>
            </c:strRef>
          </c:tx>
          <c:spPr>
            <a:solidFill>
              <a:schemeClr val="accent6"/>
            </a:solidFill>
            <a:ln>
              <a:noFill/>
            </a:ln>
            <a:effectLst/>
          </c:spPr>
          <c:invertIfNegative val="0"/>
          <c:cat>
            <c:strRef>
              <c:f>Leht3!$A$108:$A$117</c:f>
              <c:strCache>
                <c:ptCount val="10"/>
                <c:pt idx="0">
                  <c:v>Kaldu sadam</c:v>
                </c:pt>
                <c:pt idx="1">
                  <c:v>Kübassaare</c:v>
                </c:pt>
                <c:pt idx="2">
                  <c:v>Lõpesuu sadam</c:v>
                </c:pt>
                <c:pt idx="3">
                  <c:v>Nenu</c:v>
                </c:pt>
                <c:pt idx="4">
                  <c:v>Pae sadam</c:v>
                </c:pt>
                <c:pt idx="5">
                  <c:v>Sitme</c:v>
                </c:pt>
                <c:pt idx="6">
                  <c:v>Ulle</c:v>
                </c:pt>
                <c:pt idx="7">
                  <c:v>Undu</c:v>
                </c:pt>
                <c:pt idx="8">
                  <c:v>Unguma sadam</c:v>
                </c:pt>
                <c:pt idx="9">
                  <c:v>Valmeranna sadam</c:v>
                </c:pt>
              </c:strCache>
            </c:strRef>
          </c:cat>
          <c:val>
            <c:numRef>
              <c:f>Leht3!$G$108:$G$117</c:f>
              <c:numCache>
                <c:formatCode>0.00</c:formatCode>
                <c:ptCount val="10"/>
                <c:pt idx="0">
                  <c:v>10594</c:v>
                </c:pt>
                <c:pt idx="1">
                  <c:v>4405</c:v>
                </c:pt>
                <c:pt idx="2">
                  <c:v>53</c:v>
                </c:pt>
                <c:pt idx="3">
                  <c:v>24058.48</c:v>
                </c:pt>
                <c:pt idx="4">
                  <c:v>196</c:v>
                </c:pt>
                <c:pt idx="5">
                  <c:v>1187.5</c:v>
                </c:pt>
                <c:pt idx="6">
                  <c:v>1099</c:v>
                </c:pt>
                <c:pt idx="7">
                  <c:v>5272</c:v>
                </c:pt>
                <c:pt idx="8">
                  <c:v>3965.1</c:v>
                </c:pt>
                <c:pt idx="9">
                  <c:v>863</c:v>
                </c:pt>
              </c:numCache>
            </c:numRef>
          </c:val>
          <c:extLst>
            <c:ext xmlns:c16="http://schemas.microsoft.com/office/drawing/2014/chart" uri="{C3380CC4-5D6E-409C-BE32-E72D297353CC}">
              <c16:uniqueId val="{00000005-882B-4FC5-A7DB-94083F5DCE8D}"/>
            </c:ext>
          </c:extLst>
        </c:ser>
        <c:ser>
          <c:idx val="6"/>
          <c:order val="6"/>
          <c:tx>
            <c:strRef>
              <c:f>Leht3!$H$107</c:f>
              <c:strCache>
                <c:ptCount val="1"/>
                <c:pt idx="0">
                  <c:v>2022</c:v>
                </c:pt>
              </c:strCache>
            </c:strRef>
          </c:tx>
          <c:spPr>
            <a:solidFill>
              <a:schemeClr val="accent1">
                <a:lumMod val="60000"/>
              </a:schemeClr>
            </a:solidFill>
            <a:ln>
              <a:noFill/>
            </a:ln>
            <a:effectLst/>
          </c:spPr>
          <c:invertIfNegative val="0"/>
          <c:cat>
            <c:strRef>
              <c:f>Leht3!$A$108:$A$117</c:f>
              <c:strCache>
                <c:ptCount val="10"/>
                <c:pt idx="0">
                  <c:v>Kaldu sadam</c:v>
                </c:pt>
                <c:pt idx="1">
                  <c:v>Kübassaare</c:v>
                </c:pt>
                <c:pt idx="2">
                  <c:v>Lõpesuu sadam</c:v>
                </c:pt>
                <c:pt idx="3">
                  <c:v>Nenu</c:v>
                </c:pt>
                <c:pt idx="4">
                  <c:v>Pae sadam</c:v>
                </c:pt>
                <c:pt idx="5">
                  <c:v>Sitme</c:v>
                </c:pt>
                <c:pt idx="6">
                  <c:v>Ulle</c:v>
                </c:pt>
                <c:pt idx="7">
                  <c:v>Undu</c:v>
                </c:pt>
                <c:pt idx="8">
                  <c:v>Unguma sadam</c:v>
                </c:pt>
                <c:pt idx="9">
                  <c:v>Valmeranna sadam</c:v>
                </c:pt>
              </c:strCache>
            </c:strRef>
          </c:cat>
          <c:val>
            <c:numRef>
              <c:f>Leht3!$H$108:$H$117</c:f>
              <c:numCache>
                <c:formatCode>0.00</c:formatCode>
                <c:ptCount val="10"/>
                <c:pt idx="0">
                  <c:v>9533</c:v>
                </c:pt>
                <c:pt idx="1">
                  <c:v>4222.8999999999996</c:v>
                </c:pt>
                <c:pt idx="2">
                  <c:v>0</c:v>
                </c:pt>
                <c:pt idx="3">
                  <c:v>28027.4</c:v>
                </c:pt>
                <c:pt idx="4">
                  <c:v>778.5</c:v>
                </c:pt>
                <c:pt idx="5">
                  <c:v>3758.5</c:v>
                </c:pt>
                <c:pt idx="6">
                  <c:v>934</c:v>
                </c:pt>
                <c:pt idx="7">
                  <c:v>9387.5</c:v>
                </c:pt>
                <c:pt idx="8">
                  <c:v>3774.5</c:v>
                </c:pt>
                <c:pt idx="9">
                  <c:v>1309</c:v>
                </c:pt>
              </c:numCache>
            </c:numRef>
          </c:val>
          <c:extLst>
            <c:ext xmlns:c16="http://schemas.microsoft.com/office/drawing/2014/chart" uri="{C3380CC4-5D6E-409C-BE32-E72D297353CC}">
              <c16:uniqueId val="{00000006-882B-4FC5-A7DB-94083F5DCE8D}"/>
            </c:ext>
          </c:extLst>
        </c:ser>
        <c:dLbls>
          <c:showLegendKey val="0"/>
          <c:showVal val="0"/>
          <c:showCatName val="0"/>
          <c:showSerName val="0"/>
          <c:showPercent val="0"/>
          <c:showBubbleSize val="0"/>
        </c:dLbls>
        <c:gapWidth val="182"/>
        <c:axId val="534687480"/>
        <c:axId val="534682080"/>
      </c:barChart>
      <c:catAx>
        <c:axId val="534687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4682080"/>
        <c:crosses val="autoZero"/>
        <c:auto val="1"/>
        <c:lblAlgn val="ctr"/>
        <c:lblOffset val="100"/>
        <c:noMultiLvlLbl val="0"/>
      </c:catAx>
      <c:valAx>
        <c:axId val="5346820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468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Salme piirkonna lossimised (kg) 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6790129700940665"/>
          <c:y val="8.7219282774838328E-2"/>
          <c:w val="0.78716922428492075"/>
          <c:h val="0.79708814176005793"/>
        </c:manualLayout>
      </c:layout>
      <c:barChart>
        <c:barDir val="bar"/>
        <c:grouping val="clustered"/>
        <c:varyColors val="0"/>
        <c:ser>
          <c:idx val="0"/>
          <c:order val="0"/>
          <c:tx>
            <c:strRef>
              <c:f>Leht3!$B$120</c:f>
              <c:strCache>
                <c:ptCount val="1"/>
                <c:pt idx="0">
                  <c:v>2016</c:v>
                </c:pt>
              </c:strCache>
            </c:strRef>
          </c:tx>
          <c:spPr>
            <a:solidFill>
              <a:schemeClr val="accent1"/>
            </a:solidFill>
            <a:ln>
              <a:noFill/>
            </a:ln>
            <a:effectLst/>
          </c:spPr>
          <c:invertIfNegative val="0"/>
          <c:cat>
            <c:strRef>
              <c:f>Leht3!$A$121:$A$137</c:f>
              <c:strCache>
                <c:ptCount val="17"/>
                <c:pt idx="0">
                  <c:v>Anseküla</c:v>
                </c:pt>
                <c:pt idx="1">
                  <c:v>Järve- Niidiotsa</c:v>
                </c:pt>
                <c:pt idx="2">
                  <c:v>Kaugatoma</c:v>
                </c:pt>
                <c:pt idx="3">
                  <c:v>Labuna</c:v>
                </c:pt>
                <c:pt idx="4">
                  <c:v>Lahetaguse</c:v>
                </c:pt>
                <c:pt idx="5">
                  <c:v>Lassi</c:v>
                </c:pt>
                <c:pt idx="6">
                  <c:v>Lõmala sadam</c:v>
                </c:pt>
                <c:pt idx="7">
                  <c:v>Lõu </c:v>
                </c:pt>
                <c:pt idx="8">
                  <c:v>Läätsa Paadisadam</c:v>
                </c:pt>
                <c:pt idx="9">
                  <c:v>Möldri</c:v>
                </c:pt>
                <c:pt idx="10">
                  <c:v>Rahuste</c:v>
                </c:pt>
                <c:pt idx="11">
                  <c:v>Salme Jõesadam</c:v>
                </c:pt>
                <c:pt idx="12">
                  <c:v>Teesu</c:v>
                </c:pt>
                <c:pt idx="13">
                  <c:v>Tehumardi</c:v>
                </c:pt>
                <c:pt idx="14">
                  <c:v>Tiirimetsa</c:v>
                </c:pt>
                <c:pt idx="15">
                  <c:v>Toomalõuka </c:v>
                </c:pt>
                <c:pt idx="16">
                  <c:v>Vintri</c:v>
                </c:pt>
              </c:strCache>
            </c:strRef>
          </c:cat>
          <c:val>
            <c:numRef>
              <c:f>Leht3!$B$121:$B$137</c:f>
              <c:numCache>
                <c:formatCode>0.00</c:formatCode>
                <c:ptCount val="17"/>
                <c:pt idx="0">
                  <c:v>955</c:v>
                </c:pt>
                <c:pt idx="1">
                  <c:v>141.69999999999999</c:v>
                </c:pt>
                <c:pt idx="2">
                  <c:v>157.5</c:v>
                </c:pt>
                <c:pt idx="3">
                  <c:v>688</c:v>
                </c:pt>
                <c:pt idx="4">
                  <c:v>8023</c:v>
                </c:pt>
                <c:pt idx="5">
                  <c:v>1469.5</c:v>
                </c:pt>
                <c:pt idx="6">
                  <c:v>115.1</c:v>
                </c:pt>
                <c:pt idx="7">
                  <c:v>343.4</c:v>
                </c:pt>
                <c:pt idx="8">
                  <c:v>53123.8</c:v>
                </c:pt>
                <c:pt idx="9">
                  <c:v>145.5</c:v>
                </c:pt>
                <c:pt idx="10">
                  <c:v>2822</c:v>
                </c:pt>
                <c:pt idx="11">
                  <c:v>1241</c:v>
                </c:pt>
                <c:pt idx="12">
                  <c:v>610</c:v>
                </c:pt>
                <c:pt idx="13">
                  <c:v>502</c:v>
                </c:pt>
                <c:pt idx="14">
                  <c:v>29</c:v>
                </c:pt>
                <c:pt idx="15">
                  <c:v>0</c:v>
                </c:pt>
                <c:pt idx="16">
                  <c:v>869.8</c:v>
                </c:pt>
              </c:numCache>
            </c:numRef>
          </c:val>
          <c:extLst>
            <c:ext xmlns:c16="http://schemas.microsoft.com/office/drawing/2014/chart" uri="{C3380CC4-5D6E-409C-BE32-E72D297353CC}">
              <c16:uniqueId val="{00000000-A9E1-4E5A-8257-4BB4947D7592}"/>
            </c:ext>
          </c:extLst>
        </c:ser>
        <c:ser>
          <c:idx val="1"/>
          <c:order val="1"/>
          <c:tx>
            <c:strRef>
              <c:f>Leht3!$C$120</c:f>
              <c:strCache>
                <c:ptCount val="1"/>
                <c:pt idx="0">
                  <c:v>2017</c:v>
                </c:pt>
              </c:strCache>
            </c:strRef>
          </c:tx>
          <c:spPr>
            <a:solidFill>
              <a:schemeClr val="accent2"/>
            </a:solidFill>
            <a:ln>
              <a:noFill/>
            </a:ln>
            <a:effectLst/>
          </c:spPr>
          <c:invertIfNegative val="0"/>
          <c:cat>
            <c:strRef>
              <c:f>Leht3!$A$121:$A$137</c:f>
              <c:strCache>
                <c:ptCount val="17"/>
                <c:pt idx="0">
                  <c:v>Anseküla</c:v>
                </c:pt>
                <c:pt idx="1">
                  <c:v>Järve- Niidiotsa</c:v>
                </c:pt>
                <c:pt idx="2">
                  <c:v>Kaugatoma</c:v>
                </c:pt>
                <c:pt idx="3">
                  <c:v>Labuna</c:v>
                </c:pt>
                <c:pt idx="4">
                  <c:v>Lahetaguse</c:v>
                </c:pt>
                <c:pt idx="5">
                  <c:v>Lassi</c:v>
                </c:pt>
                <c:pt idx="6">
                  <c:v>Lõmala sadam</c:v>
                </c:pt>
                <c:pt idx="7">
                  <c:v>Lõu </c:v>
                </c:pt>
                <c:pt idx="8">
                  <c:v>Läätsa Paadisadam</c:v>
                </c:pt>
                <c:pt idx="9">
                  <c:v>Möldri</c:v>
                </c:pt>
                <c:pt idx="10">
                  <c:v>Rahuste</c:v>
                </c:pt>
                <c:pt idx="11">
                  <c:v>Salme Jõesadam</c:v>
                </c:pt>
                <c:pt idx="12">
                  <c:v>Teesu</c:v>
                </c:pt>
                <c:pt idx="13">
                  <c:v>Tehumardi</c:v>
                </c:pt>
                <c:pt idx="14">
                  <c:v>Tiirimetsa</c:v>
                </c:pt>
                <c:pt idx="15">
                  <c:v>Toomalõuka </c:v>
                </c:pt>
                <c:pt idx="16">
                  <c:v>Vintri</c:v>
                </c:pt>
              </c:strCache>
            </c:strRef>
          </c:cat>
          <c:val>
            <c:numRef>
              <c:f>Leht3!$C$121:$C$137</c:f>
              <c:numCache>
                <c:formatCode>0.00</c:formatCode>
                <c:ptCount val="17"/>
                <c:pt idx="0">
                  <c:v>148.5</c:v>
                </c:pt>
                <c:pt idx="1">
                  <c:v>59</c:v>
                </c:pt>
                <c:pt idx="2">
                  <c:v>522.5</c:v>
                </c:pt>
                <c:pt idx="3">
                  <c:v>6657</c:v>
                </c:pt>
                <c:pt idx="4">
                  <c:v>8159</c:v>
                </c:pt>
                <c:pt idx="5">
                  <c:v>1750</c:v>
                </c:pt>
                <c:pt idx="6">
                  <c:v>77</c:v>
                </c:pt>
                <c:pt idx="7">
                  <c:v>128</c:v>
                </c:pt>
                <c:pt idx="8">
                  <c:v>84863.5</c:v>
                </c:pt>
                <c:pt idx="9">
                  <c:v>14</c:v>
                </c:pt>
                <c:pt idx="10">
                  <c:v>1838.2</c:v>
                </c:pt>
                <c:pt idx="11">
                  <c:v>2013.5</c:v>
                </c:pt>
                <c:pt idx="12">
                  <c:v>1030</c:v>
                </c:pt>
                <c:pt idx="13">
                  <c:v>674.8</c:v>
                </c:pt>
                <c:pt idx="14">
                  <c:v>19.5</c:v>
                </c:pt>
                <c:pt idx="15">
                  <c:v>36</c:v>
                </c:pt>
                <c:pt idx="16">
                  <c:v>267.5</c:v>
                </c:pt>
              </c:numCache>
            </c:numRef>
          </c:val>
          <c:extLst>
            <c:ext xmlns:c16="http://schemas.microsoft.com/office/drawing/2014/chart" uri="{C3380CC4-5D6E-409C-BE32-E72D297353CC}">
              <c16:uniqueId val="{00000001-A9E1-4E5A-8257-4BB4947D7592}"/>
            </c:ext>
          </c:extLst>
        </c:ser>
        <c:ser>
          <c:idx val="2"/>
          <c:order val="2"/>
          <c:tx>
            <c:strRef>
              <c:f>Leht3!$D$120</c:f>
              <c:strCache>
                <c:ptCount val="1"/>
                <c:pt idx="0">
                  <c:v>2018</c:v>
                </c:pt>
              </c:strCache>
            </c:strRef>
          </c:tx>
          <c:spPr>
            <a:solidFill>
              <a:schemeClr val="accent3"/>
            </a:solidFill>
            <a:ln>
              <a:noFill/>
            </a:ln>
            <a:effectLst/>
          </c:spPr>
          <c:invertIfNegative val="0"/>
          <c:cat>
            <c:strRef>
              <c:f>Leht3!$A$121:$A$137</c:f>
              <c:strCache>
                <c:ptCount val="17"/>
                <c:pt idx="0">
                  <c:v>Anseküla</c:v>
                </c:pt>
                <c:pt idx="1">
                  <c:v>Järve- Niidiotsa</c:v>
                </c:pt>
                <c:pt idx="2">
                  <c:v>Kaugatoma</c:v>
                </c:pt>
                <c:pt idx="3">
                  <c:v>Labuna</c:v>
                </c:pt>
                <c:pt idx="4">
                  <c:v>Lahetaguse</c:v>
                </c:pt>
                <c:pt idx="5">
                  <c:v>Lassi</c:v>
                </c:pt>
                <c:pt idx="6">
                  <c:v>Lõmala sadam</c:v>
                </c:pt>
                <c:pt idx="7">
                  <c:v>Lõu </c:v>
                </c:pt>
                <c:pt idx="8">
                  <c:v>Läätsa Paadisadam</c:v>
                </c:pt>
                <c:pt idx="9">
                  <c:v>Möldri</c:v>
                </c:pt>
                <c:pt idx="10">
                  <c:v>Rahuste</c:v>
                </c:pt>
                <c:pt idx="11">
                  <c:v>Salme Jõesadam</c:v>
                </c:pt>
                <c:pt idx="12">
                  <c:v>Teesu</c:v>
                </c:pt>
                <c:pt idx="13">
                  <c:v>Tehumardi</c:v>
                </c:pt>
                <c:pt idx="14">
                  <c:v>Tiirimetsa</c:v>
                </c:pt>
                <c:pt idx="15">
                  <c:v>Toomalõuka </c:v>
                </c:pt>
                <c:pt idx="16">
                  <c:v>Vintri</c:v>
                </c:pt>
              </c:strCache>
            </c:strRef>
          </c:cat>
          <c:val>
            <c:numRef>
              <c:f>Leht3!$D$121:$D$137</c:f>
              <c:numCache>
                <c:formatCode>0.00</c:formatCode>
                <c:ptCount val="17"/>
                <c:pt idx="0">
                  <c:v>7</c:v>
                </c:pt>
                <c:pt idx="1">
                  <c:v>9</c:v>
                </c:pt>
                <c:pt idx="2">
                  <c:v>367</c:v>
                </c:pt>
                <c:pt idx="3">
                  <c:v>12595</c:v>
                </c:pt>
                <c:pt idx="4">
                  <c:v>4438</c:v>
                </c:pt>
                <c:pt idx="5">
                  <c:v>2342.5</c:v>
                </c:pt>
                <c:pt idx="6">
                  <c:v>155.5</c:v>
                </c:pt>
                <c:pt idx="7">
                  <c:v>384.9</c:v>
                </c:pt>
                <c:pt idx="8">
                  <c:v>31395.5</c:v>
                </c:pt>
                <c:pt idx="9">
                  <c:v>497</c:v>
                </c:pt>
                <c:pt idx="10">
                  <c:v>935.5</c:v>
                </c:pt>
                <c:pt idx="11">
                  <c:v>4576.2</c:v>
                </c:pt>
                <c:pt idx="12">
                  <c:v>1686.7</c:v>
                </c:pt>
                <c:pt idx="13">
                  <c:v>910.94</c:v>
                </c:pt>
                <c:pt idx="14">
                  <c:v>0</c:v>
                </c:pt>
                <c:pt idx="15">
                  <c:v>64</c:v>
                </c:pt>
                <c:pt idx="16">
                  <c:v>552.6</c:v>
                </c:pt>
              </c:numCache>
            </c:numRef>
          </c:val>
          <c:extLst>
            <c:ext xmlns:c16="http://schemas.microsoft.com/office/drawing/2014/chart" uri="{C3380CC4-5D6E-409C-BE32-E72D297353CC}">
              <c16:uniqueId val="{00000002-A9E1-4E5A-8257-4BB4947D7592}"/>
            </c:ext>
          </c:extLst>
        </c:ser>
        <c:ser>
          <c:idx val="3"/>
          <c:order val="3"/>
          <c:tx>
            <c:strRef>
              <c:f>Leht3!$E$120</c:f>
              <c:strCache>
                <c:ptCount val="1"/>
                <c:pt idx="0">
                  <c:v>2019</c:v>
                </c:pt>
              </c:strCache>
            </c:strRef>
          </c:tx>
          <c:spPr>
            <a:solidFill>
              <a:schemeClr val="accent4"/>
            </a:solidFill>
            <a:ln>
              <a:noFill/>
            </a:ln>
            <a:effectLst/>
          </c:spPr>
          <c:invertIfNegative val="0"/>
          <c:cat>
            <c:strRef>
              <c:f>Leht3!$A$121:$A$137</c:f>
              <c:strCache>
                <c:ptCount val="17"/>
                <c:pt idx="0">
                  <c:v>Anseküla</c:v>
                </c:pt>
                <c:pt idx="1">
                  <c:v>Järve- Niidiotsa</c:v>
                </c:pt>
                <c:pt idx="2">
                  <c:v>Kaugatoma</c:v>
                </c:pt>
                <c:pt idx="3">
                  <c:v>Labuna</c:v>
                </c:pt>
                <c:pt idx="4">
                  <c:v>Lahetaguse</c:v>
                </c:pt>
                <c:pt idx="5">
                  <c:v>Lassi</c:v>
                </c:pt>
                <c:pt idx="6">
                  <c:v>Lõmala sadam</c:v>
                </c:pt>
                <c:pt idx="7">
                  <c:v>Lõu </c:v>
                </c:pt>
                <c:pt idx="8">
                  <c:v>Läätsa Paadisadam</c:v>
                </c:pt>
                <c:pt idx="9">
                  <c:v>Möldri</c:v>
                </c:pt>
                <c:pt idx="10">
                  <c:v>Rahuste</c:v>
                </c:pt>
                <c:pt idx="11">
                  <c:v>Salme Jõesadam</c:v>
                </c:pt>
                <c:pt idx="12">
                  <c:v>Teesu</c:v>
                </c:pt>
                <c:pt idx="13">
                  <c:v>Tehumardi</c:v>
                </c:pt>
                <c:pt idx="14">
                  <c:v>Tiirimetsa</c:v>
                </c:pt>
                <c:pt idx="15">
                  <c:v>Toomalõuka </c:v>
                </c:pt>
                <c:pt idx="16">
                  <c:v>Vintri</c:v>
                </c:pt>
              </c:strCache>
            </c:strRef>
          </c:cat>
          <c:val>
            <c:numRef>
              <c:f>Leht3!$E$121:$E$137</c:f>
              <c:numCache>
                <c:formatCode>0.00</c:formatCode>
                <c:ptCount val="17"/>
                <c:pt idx="0">
                  <c:v>82.5</c:v>
                </c:pt>
                <c:pt idx="1">
                  <c:v>42.8</c:v>
                </c:pt>
                <c:pt idx="2">
                  <c:v>448.5</c:v>
                </c:pt>
                <c:pt idx="3">
                  <c:v>11393.5</c:v>
                </c:pt>
                <c:pt idx="4">
                  <c:v>3933</c:v>
                </c:pt>
                <c:pt idx="5">
                  <c:v>1795</c:v>
                </c:pt>
                <c:pt idx="6">
                  <c:v>885.5</c:v>
                </c:pt>
                <c:pt idx="7">
                  <c:v>287.89999999999998</c:v>
                </c:pt>
                <c:pt idx="8">
                  <c:v>17281.45</c:v>
                </c:pt>
                <c:pt idx="9">
                  <c:v>0</c:v>
                </c:pt>
                <c:pt idx="10">
                  <c:v>1142.8</c:v>
                </c:pt>
                <c:pt idx="11">
                  <c:v>2961</c:v>
                </c:pt>
                <c:pt idx="12">
                  <c:v>1002</c:v>
                </c:pt>
                <c:pt idx="13">
                  <c:v>278.39999999999998</c:v>
                </c:pt>
                <c:pt idx="14">
                  <c:v>0</c:v>
                </c:pt>
                <c:pt idx="15">
                  <c:v>85.5</c:v>
                </c:pt>
                <c:pt idx="16">
                  <c:v>524.79999999999995</c:v>
                </c:pt>
              </c:numCache>
            </c:numRef>
          </c:val>
          <c:extLst>
            <c:ext xmlns:c16="http://schemas.microsoft.com/office/drawing/2014/chart" uri="{C3380CC4-5D6E-409C-BE32-E72D297353CC}">
              <c16:uniqueId val="{00000003-A9E1-4E5A-8257-4BB4947D7592}"/>
            </c:ext>
          </c:extLst>
        </c:ser>
        <c:ser>
          <c:idx val="4"/>
          <c:order val="4"/>
          <c:tx>
            <c:strRef>
              <c:f>Leht3!$F$120</c:f>
              <c:strCache>
                <c:ptCount val="1"/>
                <c:pt idx="0">
                  <c:v>2020</c:v>
                </c:pt>
              </c:strCache>
            </c:strRef>
          </c:tx>
          <c:spPr>
            <a:solidFill>
              <a:schemeClr val="accent5"/>
            </a:solidFill>
            <a:ln>
              <a:noFill/>
            </a:ln>
            <a:effectLst/>
          </c:spPr>
          <c:invertIfNegative val="0"/>
          <c:cat>
            <c:strRef>
              <c:f>Leht3!$A$121:$A$137</c:f>
              <c:strCache>
                <c:ptCount val="17"/>
                <c:pt idx="0">
                  <c:v>Anseküla</c:v>
                </c:pt>
                <c:pt idx="1">
                  <c:v>Järve- Niidiotsa</c:v>
                </c:pt>
                <c:pt idx="2">
                  <c:v>Kaugatoma</c:v>
                </c:pt>
                <c:pt idx="3">
                  <c:v>Labuna</c:v>
                </c:pt>
                <c:pt idx="4">
                  <c:v>Lahetaguse</c:v>
                </c:pt>
                <c:pt idx="5">
                  <c:v>Lassi</c:v>
                </c:pt>
                <c:pt idx="6">
                  <c:v>Lõmala sadam</c:v>
                </c:pt>
                <c:pt idx="7">
                  <c:v>Lõu </c:v>
                </c:pt>
                <c:pt idx="8">
                  <c:v>Läätsa Paadisadam</c:v>
                </c:pt>
                <c:pt idx="9">
                  <c:v>Möldri</c:v>
                </c:pt>
                <c:pt idx="10">
                  <c:v>Rahuste</c:v>
                </c:pt>
                <c:pt idx="11">
                  <c:v>Salme Jõesadam</c:v>
                </c:pt>
                <c:pt idx="12">
                  <c:v>Teesu</c:v>
                </c:pt>
                <c:pt idx="13">
                  <c:v>Tehumardi</c:v>
                </c:pt>
                <c:pt idx="14">
                  <c:v>Tiirimetsa</c:v>
                </c:pt>
                <c:pt idx="15">
                  <c:v>Toomalõuka </c:v>
                </c:pt>
                <c:pt idx="16">
                  <c:v>Vintri</c:v>
                </c:pt>
              </c:strCache>
            </c:strRef>
          </c:cat>
          <c:val>
            <c:numRef>
              <c:f>Leht3!$F$121:$F$137</c:f>
              <c:numCache>
                <c:formatCode>0.00</c:formatCode>
                <c:ptCount val="17"/>
                <c:pt idx="0">
                  <c:v>194</c:v>
                </c:pt>
                <c:pt idx="1">
                  <c:v>1</c:v>
                </c:pt>
                <c:pt idx="2">
                  <c:v>410</c:v>
                </c:pt>
                <c:pt idx="3">
                  <c:v>9639</c:v>
                </c:pt>
                <c:pt idx="4">
                  <c:v>3114</c:v>
                </c:pt>
                <c:pt idx="5">
                  <c:v>1746</c:v>
                </c:pt>
                <c:pt idx="6">
                  <c:v>918</c:v>
                </c:pt>
                <c:pt idx="7">
                  <c:v>283</c:v>
                </c:pt>
                <c:pt idx="8">
                  <c:v>13267</c:v>
                </c:pt>
                <c:pt idx="9">
                  <c:v>89</c:v>
                </c:pt>
                <c:pt idx="10">
                  <c:v>46</c:v>
                </c:pt>
                <c:pt idx="11">
                  <c:v>2586</c:v>
                </c:pt>
                <c:pt idx="12">
                  <c:v>1691</c:v>
                </c:pt>
                <c:pt idx="13">
                  <c:v>722</c:v>
                </c:pt>
                <c:pt idx="14">
                  <c:v>38</c:v>
                </c:pt>
                <c:pt idx="15">
                  <c:v>115</c:v>
                </c:pt>
                <c:pt idx="16">
                  <c:v>1099</c:v>
                </c:pt>
              </c:numCache>
            </c:numRef>
          </c:val>
          <c:extLst>
            <c:ext xmlns:c16="http://schemas.microsoft.com/office/drawing/2014/chart" uri="{C3380CC4-5D6E-409C-BE32-E72D297353CC}">
              <c16:uniqueId val="{00000004-A9E1-4E5A-8257-4BB4947D7592}"/>
            </c:ext>
          </c:extLst>
        </c:ser>
        <c:ser>
          <c:idx val="5"/>
          <c:order val="5"/>
          <c:tx>
            <c:strRef>
              <c:f>Leht3!$G$120</c:f>
              <c:strCache>
                <c:ptCount val="1"/>
                <c:pt idx="0">
                  <c:v>2021</c:v>
                </c:pt>
              </c:strCache>
            </c:strRef>
          </c:tx>
          <c:spPr>
            <a:solidFill>
              <a:schemeClr val="accent6"/>
            </a:solidFill>
            <a:ln>
              <a:noFill/>
            </a:ln>
            <a:effectLst/>
          </c:spPr>
          <c:invertIfNegative val="0"/>
          <c:cat>
            <c:strRef>
              <c:f>Leht3!$A$121:$A$137</c:f>
              <c:strCache>
                <c:ptCount val="17"/>
                <c:pt idx="0">
                  <c:v>Anseküla</c:v>
                </c:pt>
                <c:pt idx="1">
                  <c:v>Järve- Niidiotsa</c:v>
                </c:pt>
                <c:pt idx="2">
                  <c:v>Kaugatoma</c:v>
                </c:pt>
                <c:pt idx="3">
                  <c:v>Labuna</c:v>
                </c:pt>
                <c:pt idx="4">
                  <c:v>Lahetaguse</c:v>
                </c:pt>
                <c:pt idx="5">
                  <c:v>Lassi</c:v>
                </c:pt>
                <c:pt idx="6">
                  <c:v>Lõmala sadam</c:v>
                </c:pt>
                <c:pt idx="7">
                  <c:v>Lõu </c:v>
                </c:pt>
                <c:pt idx="8">
                  <c:v>Läätsa Paadisadam</c:v>
                </c:pt>
                <c:pt idx="9">
                  <c:v>Möldri</c:v>
                </c:pt>
                <c:pt idx="10">
                  <c:v>Rahuste</c:v>
                </c:pt>
                <c:pt idx="11">
                  <c:v>Salme Jõesadam</c:v>
                </c:pt>
                <c:pt idx="12">
                  <c:v>Teesu</c:v>
                </c:pt>
                <c:pt idx="13">
                  <c:v>Tehumardi</c:v>
                </c:pt>
                <c:pt idx="14">
                  <c:v>Tiirimetsa</c:v>
                </c:pt>
                <c:pt idx="15">
                  <c:v>Toomalõuka </c:v>
                </c:pt>
                <c:pt idx="16">
                  <c:v>Vintri</c:v>
                </c:pt>
              </c:strCache>
            </c:strRef>
          </c:cat>
          <c:val>
            <c:numRef>
              <c:f>Leht3!$G$121:$G$137</c:f>
              <c:numCache>
                <c:formatCode>0.00</c:formatCode>
                <c:ptCount val="17"/>
                <c:pt idx="0">
                  <c:v>155.9</c:v>
                </c:pt>
                <c:pt idx="1">
                  <c:v>0</c:v>
                </c:pt>
                <c:pt idx="2">
                  <c:v>254.8</c:v>
                </c:pt>
                <c:pt idx="3">
                  <c:v>11695.3</c:v>
                </c:pt>
                <c:pt idx="4">
                  <c:v>2312</c:v>
                </c:pt>
                <c:pt idx="5">
                  <c:v>2185.5</c:v>
                </c:pt>
                <c:pt idx="6">
                  <c:v>200</c:v>
                </c:pt>
                <c:pt idx="7">
                  <c:v>84.1</c:v>
                </c:pt>
                <c:pt idx="8">
                  <c:v>6444.6</c:v>
                </c:pt>
                <c:pt idx="9">
                  <c:v>282.7</c:v>
                </c:pt>
                <c:pt idx="10">
                  <c:v>357</c:v>
                </c:pt>
                <c:pt idx="11">
                  <c:v>4357</c:v>
                </c:pt>
                <c:pt idx="12">
                  <c:v>1599.8</c:v>
                </c:pt>
                <c:pt idx="13">
                  <c:v>679.5</c:v>
                </c:pt>
                <c:pt idx="14">
                  <c:v>64</c:v>
                </c:pt>
                <c:pt idx="15">
                  <c:v>116.5</c:v>
                </c:pt>
                <c:pt idx="16">
                  <c:v>2633.2</c:v>
                </c:pt>
              </c:numCache>
            </c:numRef>
          </c:val>
          <c:extLst>
            <c:ext xmlns:c16="http://schemas.microsoft.com/office/drawing/2014/chart" uri="{C3380CC4-5D6E-409C-BE32-E72D297353CC}">
              <c16:uniqueId val="{00000005-A9E1-4E5A-8257-4BB4947D7592}"/>
            </c:ext>
          </c:extLst>
        </c:ser>
        <c:ser>
          <c:idx val="6"/>
          <c:order val="6"/>
          <c:tx>
            <c:strRef>
              <c:f>Leht3!$H$120</c:f>
              <c:strCache>
                <c:ptCount val="1"/>
                <c:pt idx="0">
                  <c:v>2022</c:v>
                </c:pt>
              </c:strCache>
            </c:strRef>
          </c:tx>
          <c:spPr>
            <a:solidFill>
              <a:schemeClr val="accent1">
                <a:lumMod val="60000"/>
              </a:schemeClr>
            </a:solidFill>
            <a:ln>
              <a:noFill/>
            </a:ln>
            <a:effectLst/>
          </c:spPr>
          <c:invertIfNegative val="0"/>
          <c:cat>
            <c:strRef>
              <c:f>Leht3!$A$121:$A$137</c:f>
              <c:strCache>
                <c:ptCount val="17"/>
                <c:pt idx="0">
                  <c:v>Anseküla</c:v>
                </c:pt>
                <c:pt idx="1">
                  <c:v>Järve- Niidiotsa</c:v>
                </c:pt>
                <c:pt idx="2">
                  <c:v>Kaugatoma</c:v>
                </c:pt>
                <c:pt idx="3">
                  <c:v>Labuna</c:v>
                </c:pt>
                <c:pt idx="4">
                  <c:v>Lahetaguse</c:v>
                </c:pt>
                <c:pt idx="5">
                  <c:v>Lassi</c:v>
                </c:pt>
                <c:pt idx="6">
                  <c:v>Lõmala sadam</c:v>
                </c:pt>
                <c:pt idx="7">
                  <c:v>Lõu </c:v>
                </c:pt>
                <c:pt idx="8">
                  <c:v>Läätsa Paadisadam</c:v>
                </c:pt>
                <c:pt idx="9">
                  <c:v>Möldri</c:v>
                </c:pt>
                <c:pt idx="10">
                  <c:v>Rahuste</c:v>
                </c:pt>
                <c:pt idx="11">
                  <c:v>Salme Jõesadam</c:v>
                </c:pt>
                <c:pt idx="12">
                  <c:v>Teesu</c:v>
                </c:pt>
                <c:pt idx="13">
                  <c:v>Tehumardi</c:v>
                </c:pt>
                <c:pt idx="14">
                  <c:v>Tiirimetsa</c:v>
                </c:pt>
                <c:pt idx="15">
                  <c:v>Toomalõuka </c:v>
                </c:pt>
                <c:pt idx="16">
                  <c:v>Vintri</c:v>
                </c:pt>
              </c:strCache>
            </c:strRef>
          </c:cat>
          <c:val>
            <c:numRef>
              <c:f>Leht3!$H$121:$H$137</c:f>
              <c:numCache>
                <c:formatCode>0.00</c:formatCode>
                <c:ptCount val="17"/>
                <c:pt idx="0">
                  <c:v>2588.5</c:v>
                </c:pt>
                <c:pt idx="1">
                  <c:v>87</c:v>
                </c:pt>
                <c:pt idx="2">
                  <c:v>143.30000000000001</c:v>
                </c:pt>
                <c:pt idx="3">
                  <c:v>11845</c:v>
                </c:pt>
                <c:pt idx="4">
                  <c:v>4728.5</c:v>
                </c:pt>
                <c:pt idx="5">
                  <c:v>4284.3</c:v>
                </c:pt>
                <c:pt idx="6">
                  <c:v>151</c:v>
                </c:pt>
                <c:pt idx="7">
                  <c:v>95.8</c:v>
                </c:pt>
                <c:pt idx="8">
                  <c:v>4134</c:v>
                </c:pt>
                <c:pt idx="9">
                  <c:v>15</c:v>
                </c:pt>
                <c:pt idx="10">
                  <c:v>227</c:v>
                </c:pt>
                <c:pt idx="11">
                  <c:v>4774.8999999999996</c:v>
                </c:pt>
                <c:pt idx="12">
                  <c:v>1171.5</c:v>
                </c:pt>
                <c:pt idx="13">
                  <c:v>1583.2</c:v>
                </c:pt>
                <c:pt idx="14">
                  <c:v>47.7</c:v>
                </c:pt>
                <c:pt idx="15">
                  <c:v>65</c:v>
                </c:pt>
                <c:pt idx="16">
                  <c:v>812.8</c:v>
                </c:pt>
              </c:numCache>
            </c:numRef>
          </c:val>
          <c:extLst>
            <c:ext xmlns:c16="http://schemas.microsoft.com/office/drawing/2014/chart" uri="{C3380CC4-5D6E-409C-BE32-E72D297353CC}">
              <c16:uniqueId val="{00000006-A9E1-4E5A-8257-4BB4947D7592}"/>
            </c:ext>
          </c:extLst>
        </c:ser>
        <c:dLbls>
          <c:showLegendKey val="0"/>
          <c:showVal val="0"/>
          <c:showCatName val="0"/>
          <c:showSerName val="0"/>
          <c:showPercent val="0"/>
          <c:showBubbleSize val="0"/>
        </c:dLbls>
        <c:gapWidth val="182"/>
        <c:axId val="380239888"/>
        <c:axId val="380235568"/>
      </c:barChart>
      <c:catAx>
        <c:axId val="380239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80235568"/>
        <c:crosses val="autoZero"/>
        <c:auto val="1"/>
        <c:lblAlgn val="ctr"/>
        <c:lblOffset val="100"/>
        <c:noMultiLvlLbl val="0"/>
      </c:catAx>
      <c:valAx>
        <c:axId val="3802355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38023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Torgu piirkonna lossimised (kg) 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9101465670648257"/>
          <c:y val="0.10878602211168617"/>
          <c:w val="0.65139236067713768"/>
          <c:h val="0.75766785146102267"/>
        </c:manualLayout>
      </c:layout>
      <c:barChart>
        <c:barDir val="bar"/>
        <c:grouping val="clustered"/>
        <c:varyColors val="0"/>
        <c:ser>
          <c:idx val="0"/>
          <c:order val="0"/>
          <c:tx>
            <c:strRef>
              <c:f>Leht3!$B$140</c:f>
              <c:strCache>
                <c:ptCount val="1"/>
                <c:pt idx="0">
                  <c:v>2016</c:v>
                </c:pt>
              </c:strCache>
            </c:strRef>
          </c:tx>
          <c:spPr>
            <a:solidFill>
              <a:schemeClr val="accent1"/>
            </a:solidFill>
            <a:ln>
              <a:noFill/>
            </a:ln>
            <a:effectLst/>
          </c:spPr>
          <c:invertIfNegative val="0"/>
          <c:cat>
            <c:strRef>
              <c:f>Leht3!$A$141:$A$153</c:f>
              <c:strCache>
                <c:ptCount val="13"/>
                <c:pt idx="0">
                  <c:v>Jämaja</c:v>
                </c:pt>
                <c:pt idx="1">
                  <c:v>Kaavi paadisadam</c:v>
                </c:pt>
                <c:pt idx="2">
                  <c:v>Karuste</c:v>
                </c:pt>
                <c:pt idx="3">
                  <c:v>Kaunispe sadam</c:v>
                </c:pt>
                <c:pt idx="4">
                  <c:v>Lindmetsa</c:v>
                </c:pt>
                <c:pt idx="5">
                  <c:v>Loode</c:v>
                </c:pt>
                <c:pt idx="6">
                  <c:v>Läbara</c:v>
                </c:pt>
                <c:pt idx="7">
                  <c:v>Mõntu Sadam</c:v>
                </c:pt>
                <c:pt idx="8">
                  <c:v>Mõntu Väikelaevasadam</c:v>
                </c:pt>
                <c:pt idx="9">
                  <c:v>Mäebe sadam</c:v>
                </c:pt>
                <c:pt idx="10">
                  <c:v>Sääre  Sõrve säär</c:v>
                </c:pt>
                <c:pt idx="11">
                  <c:v>Tammuna</c:v>
                </c:pt>
                <c:pt idx="12">
                  <c:v>Türju</c:v>
                </c:pt>
              </c:strCache>
            </c:strRef>
          </c:cat>
          <c:val>
            <c:numRef>
              <c:f>Leht3!$B$141:$B$153</c:f>
              <c:numCache>
                <c:formatCode>0.00</c:formatCode>
                <c:ptCount val="13"/>
                <c:pt idx="0">
                  <c:v>191</c:v>
                </c:pt>
                <c:pt idx="1">
                  <c:v>5692.2</c:v>
                </c:pt>
                <c:pt idx="2">
                  <c:v>119</c:v>
                </c:pt>
                <c:pt idx="3">
                  <c:v>27768.9</c:v>
                </c:pt>
                <c:pt idx="4">
                  <c:v>22</c:v>
                </c:pt>
                <c:pt idx="5">
                  <c:v>0</c:v>
                </c:pt>
                <c:pt idx="6">
                  <c:v>84</c:v>
                </c:pt>
                <c:pt idx="7">
                  <c:v>1188</c:v>
                </c:pt>
                <c:pt idx="8">
                  <c:v>4421.8999999999996</c:v>
                </c:pt>
                <c:pt idx="9">
                  <c:v>4874</c:v>
                </c:pt>
                <c:pt idx="10">
                  <c:v>10621</c:v>
                </c:pt>
                <c:pt idx="11">
                  <c:v>19</c:v>
                </c:pt>
                <c:pt idx="12">
                  <c:v>299.10000000000002</c:v>
                </c:pt>
              </c:numCache>
            </c:numRef>
          </c:val>
          <c:extLst>
            <c:ext xmlns:c16="http://schemas.microsoft.com/office/drawing/2014/chart" uri="{C3380CC4-5D6E-409C-BE32-E72D297353CC}">
              <c16:uniqueId val="{00000000-7ADB-4EC2-8708-A2B0B219E829}"/>
            </c:ext>
          </c:extLst>
        </c:ser>
        <c:ser>
          <c:idx val="1"/>
          <c:order val="1"/>
          <c:tx>
            <c:strRef>
              <c:f>Leht3!$C$140</c:f>
              <c:strCache>
                <c:ptCount val="1"/>
                <c:pt idx="0">
                  <c:v>2017</c:v>
                </c:pt>
              </c:strCache>
            </c:strRef>
          </c:tx>
          <c:spPr>
            <a:solidFill>
              <a:schemeClr val="accent2"/>
            </a:solidFill>
            <a:ln>
              <a:noFill/>
            </a:ln>
            <a:effectLst/>
          </c:spPr>
          <c:invertIfNegative val="0"/>
          <c:cat>
            <c:strRef>
              <c:f>Leht3!$A$141:$A$153</c:f>
              <c:strCache>
                <c:ptCount val="13"/>
                <c:pt idx="0">
                  <c:v>Jämaja</c:v>
                </c:pt>
                <c:pt idx="1">
                  <c:v>Kaavi paadisadam</c:v>
                </c:pt>
                <c:pt idx="2">
                  <c:v>Karuste</c:v>
                </c:pt>
                <c:pt idx="3">
                  <c:v>Kaunispe sadam</c:v>
                </c:pt>
                <c:pt idx="4">
                  <c:v>Lindmetsa</c:v>
                </c:pt>
                <c:pt idx="5">
                  <c:v>Loode</c:v>
                </c:pt>
                <c:pt idx="6">
                  <c:v>Läbara</c:v>
                </c:pt>
                <c:pt idx="7">
                  <c:v>Mõntu Sadam</c:v>
                </c:pt>
                <c:pt idx="8">
                  <c:v>Mõntu Väikelaevasadam</c:v>
                </c:pt>
                <c:pt idx="9">
                  <c:v>Mäebe sadam</c:v>
                </c:pt>
                <c:pt idx="10">
                  <c:v>Sääre  Sõrve säär</c:v>
                </c:pt>
                <c:pt idx="11">
                  <c:v>Tammuna</c:v>
                </c:pt>
                <c:pt idx="12">
                  <c:v>Türju</c:v>
                </c:pt>
              </c:strCache>
            </c:strRef>
          </c:cat>
          <c:val>
            <c:numRef>
              <c:f>Leht3!$C$141:$C$153</c:f>
              <c:numCache>
                <c:formatCode>0.00</c:formatCode>
                <c:ptCount val="13"/>
                <c:pt idx="0">
                  <c:v>261</c:v>
                </c:pt>
                <c:pt idx="1">
                  <c:v>11753.3</c:v>
                </c:pt>
                <c:pt idx="2">
                  <c:v>1093.4000000000001</c:v>
                </c:pt>
                <c:pt idx="3">
                  <c:v>21054.6</c:v>
                </c:pt>
                <c:pt idx="4">
                  <c:v>0</c:v>
                </c:pt>
                <c:pt idx="5">
                  <c:v>58.3</c:v>
                </c:pt>
                <c:pt idx="6">
                  <c:v>2</c:v>
                </c:pt>
                <c:pt idx="7">
                  <c:v>219</c:v>
                </c:pt>
                <c:pt idx="8">
                  <c:v>2400</c:v>
                </c:pt>
                <c:pt idx="9">
                  <c:v>4223</c:v>
                </c:pt>
                <c:pt idx="10">
                  <c:v>7518</c:v>
                </c:pt>
                <c:pt idx="11">
                  <c:v>4</c:v>
                </c:pt>
                <c:pt idx="12">
                  <c:v>791.8</c:v>
                </c:pt>
              </c:numCache>
            </c:numRef>
          </c:val>
          <c:extLst>
            <c:ext xmlns:c16="http://schemas.microsoft.com/office/drawing/2014/chart" uri="{C3380CC4-5D6E-409C-BE32-E72D297353CC}">
              <c16:uniqueId val="{00000001-7ADB-4EC2-8708-A2B0B219E829}"/>
            </c:ext>
          </c:extLst>
        </c:ser>
        <c:ser>
          <c:idx val="2"/>
          <c:order val="2"/>
          <c:tx>
            <c:strRef>
              <c:f>Leht3!$D$140</c:f>
              <c:strCache>
                <c:ptCount val="1"/>
                <c:pt idx="0">
                  <c:v>2018</c:v>
                </c:pt>
              </c:strCache>
            </c:strRef>
          </c:tx>
          <c:spPr>
            <a:solidFill>
              <a:schemeClr val="accent3"/>
            </a:solidFill>
            <a:ln>
              <a:noFill/>
            </a:ln>
            <a:effectLst/>
          </c:spPr>
          <c:invertIfNegative val="0"/>
          <c:cat>
            <c:strRef>
              <c:f>Leht3!$A$141:$A$153</c:f>
              <c:strCache>
                <c:ptCount val="13"/>
                <c:pt idx="0">
                  <c:v>Jämaja</c:v>
                </c:pt>
                <c:pt idx="1">
                  <c:v>Kaavi paadisadam</c:v>
                </c:pt>
                <c:pt idx="2">
                  <c:v>Karuste</c:v>
                </c:pt>
                <c:pt idx="3">
                  <c:v>Kaunispe sadam</c:v>
                </c:pt>
                <c:pt idx="4">
                  <c:v>Lindmetsa</c:v>
                </c:pt>
                <c:pt idx="5">
                  <c:v>Loode</c:v>
                </c:pt>
                <c:pt idx="6">
                  <c:v>Läbara</c:v>
                </c:pt>
                <c:pt idx="7">
                  <c:v>Mõntu Sadam</c:v>
                </c:pt>
                <c:pt idx="8">
                  <c:v>Mõntu Väikelaevasadam</c:v>
                </c:pt>
                <c:pt idx="9">
                  <c:v>Mäebe sadam</c:v>
                </c:pt>
                <c:pt idx="10">
                  <c:v>Sääre  Sõrve säär</c:v>
                </c:pt>
                <c:pt idx="11">
                  <c:v>Tammuna</c:v>
                </c:pt>
                <c:pt idx="12">
                  <c:v>Türju</c:v>
                </c:pt>
              </c:strCache>
            </c:strRef>
          </c:cat>
          <c:val>
            <c:numRef>
              <c:f>Leht3!$D$141:$D$153</c:f>
              <c:numCache>
                <c:formatCode>0.00</c:formatCode>
                <c:ptCount val="13"/>
                <c:pt idx="0">
                  <c:v>467.3</c:v>
                </c:pt>
                <c:pt idx="1">
                  <c:v>8586.2999999999993</c:v>
                </c:pt>
                <c:pt idx="2">
                  <c:v>993.2</c:v>
                </c:pt>
                <c:pt idx="3">
                  <c:v>5320.1</c:v>
                </c:pt>
                <c:pt idx="4">
                  <c:v>116</c:v>
                </c:pt>
                <c:pt idx="5">
                  <c:v>0</c:v>
                </c:pt>
                <c:pt idx="6">
                  <c:v>2</c:v>
                </c:pt>
                <c:pt idx="7">
                  <c:v>29</c:v>
                </c:pt>
                <c:pt idx="8">
                  <c:v>121.25</c:v>
                </c:pt>
                <c:pt idx="9">
                  <c:v>3254.9</c:v>
                </c:pt>
                <c:pt idx="10">
                  <c:v>10095.5</c:v>
                </c:pt>
                <c:pt idx="11">
                  <c:v>15</c:v>
                </c:pt>
                <c:pt idx="12">
                  <c:v>270</c:v>
                </c:pt>
              </c:numCache>
            </c:numRef>
          </c:val>
          <c:extLst>
            <c:ext xmlns:c16="http://schemas.microsoft.com/office/drawing/2014/chart" uri="{C3380CC4-5D6E-409C-BE32-E72D297353CC}">
              <c16:uniqueId val="{00000002-7ADB-4EC2-8708-A2B0B219E829}"/>
            </c:ext>
          </c:extLst>
        </c:ser>
        <c:ser>
          <c:idx val="3"/>
          <c:order val="3"/>
          <c:tx>
            <c:strRef>
              <c:f>Leht3!$E$140</c:f>
              <c:strCache>
                <c:ptCount val="1"/>
                <c:pt idx="0">
                  <c:v>2019</c:v>
                </c:pt>
              </c:strCache>
            </c:strRef>
          </c:tx>
          <c:spPr>
            <a:solidFill>
              <a:schemeClr val="accent4"/>
            </a:solidFill>
            <a:ln>
              <a:noFill/>
            </a:ln>
            <a:effectLst/>
          </c:spPr>
          <c:invertIfNegative val="0"/>
          <c:cat>
            <c:strRef>
              <c:f>Leht3!$A$141:$A$153</c:f>
              <c:strCache>
                <c:ptCount val="13"/>
                <c:pt idx="0">
                  <c:v>Jämaja</c:v>
                </c:pt>
                <c:pt idx="1">
                  <c:v>Kaavi paadisadam</c:v>
                </c:pt>
                <c:pt idx="2">
                  <c:v>Karuste</c:v>
                </c:pt>
                <c:pt idx="3">
                  <c:v>Kaunispe sadam</c:v>
                </c:pt>
                <c:pt idx="4">
                  <c:v>Lindmetsa</c:v>
                </c:pt>
                <c:pt idx="5">
                  <c:v>Loode</c:v>
                </c:pt>
                <c:pt idx="6">
                  <c:v>Läbara</c:v>
                </c:pt>
                <c:pt idx="7">
                  <c:v>Mõntu Sadam</c:v>
                </c:pt>
                <c:pt idx="8">
                  <c:v>Mõntu Väikelaevasadam</c:v>
                </c:pt>
                <c:pt idx="9">
                  <c:v>Mäebe sadam</c:v>
                </c:pt>
                <c:pt idx="10">
                  <c:v>Sääre  Sõrve säär</c:v>
                </c:pt>
                <c:pt idx="11">
                  <c:v>Tammuna</c:v>
                </c:pt>
                <c:pt idx="12">
                  <c:v>Türju</c:v>
                </c:pt>
              </c:strCache>
            </c:strRef>
          </c:cat>
          <c:val>
            <c:numRef>
              <c:f>Leht3!$E$141:$E$153</c:f>
              <c:numCache>
                <c:formatCode>0.00</c:formatCode>
                <c:ptCount val="13"/>
                <c:pt idx="0">
                  <c:v>666.5</c:v>
                </c:pt>
                <c:pt idx="1">
                  <c:v>9189.5</c:v>
                </c:pt>
                <c:pt idx="2">
                  <c:v>384.8</c:v>
                </c:pt>
                <c:pt idx="3">
                  <c:v>4277.8999999999996</c:v>
                </c:pt>
                <c:pt idx="4">
                  <c:v>550.5</c:v>
                </c:pt>
                <c:pt idx="5">
                  <c:v>0</c:v>
                </c:pt>
                <c:pt idx="6">
                  <c:v>190</c:v>
                </c:pt>
                <c:pt idx="7">
                  <c:v>104.2</c:v>
                </c:pt>
                <c:pt idx="8">
                  <c:v>393</c:v>
                </c:pt>
                <c:pt idx="9">
                  <c:v>3640</c:v>
                </c:pt>
                <c:pt idx="10">
                  <c:v>12905.9</c:v>
                </c:pt>
                <c:pt idx="11">
                  <c:v>3.5</c:v>
                </c:pt>
                <c:pt idx="12">
                  <c:v>468.8</c:v>
                </c:pt>
              </c:numCache>
            </c:numRef>
          </c:val>
          <c:extLst>
            <c:ext xmlns:c16="http://schemas.microsoft.com/office/drawing/2014/chart" uri="{C3380CC4-5D6E-409C-BE32-E72D297353CC}">
              <c16:uniqueId val="{00000003-7ADB-4EC2-8708-A2B0B219E829}"/>
            </c:ext>
          </c:extLst>
        </c:ser>
        <c:ser>
          <c:idx val="4"/>
          <c:order val="4"/>
          <c:tx>
            <c:strRef>
              <c:f>Leht3!$F$140</c:f>
              <c:strCache>
                <c:ptCount val="1"/>
                <c:pt idx="0">
                  <c:v>2020</c:v>
                </c:pt>
              </c:strCache>
            </c:strRef>
          </c:tx>
          <c:spPr>
            <a:solidFill>
              <a:schemeClr val="accent5"/>
            </a:solidFill>
            <a:ln>
              <a:noFill/>
            </a:ln>
            <a:effectLst/>
          </c:spPr>
          <c:invertIfNegative val="0"/>
          <c:cat>
            <c:strRef>
              <c:f>Leht3!$A$141:$A$153</c:f>
              <c:strCache>
                <c:ptCount val="13"/>
                <c:pt idx="0">
                  <c:v>Jämaja</c:v>
                </c:pt>
                <c:pt idx="1">
                  <c:v>Kaavi paadisadam</c:v>
                </c:pt>
                <c:pt idx="2">
                  <c:v>Karuste</c:v>
                </c:pt>
                <c:pt idx="3">
                  <c:v>Kaunispe sadam</c:v>
                </c:pt>
                <c:pt idx="4">
                  <c:v>Lindmetsa</c:v>
                </c:pt>
                <c:pt idx="5">
                  <c:v>Loode</c:v>
                </c:pt>
                <c:pt idx="6">
                  <c:v>Läbara</c:v>
                </c:pt>
                <c:pt idx="7">
                  <c:v>Mõntu Sadam</c:v>
                </c:pt>
                <c:pt idx="8">
                  <c:v>Mõntu Väikelaevasadam</c:v>
                </c:pt>
                <c:pt idx="9">
                  <c:v>Mäebe sadam</c:v>
                </c:pt>
                <c:pt idx="10">
                  <c:v>Sääre  Sõrve säär</c:v>
                </c:pt>
                <c:pt idx="11">
                  <c:v>Tammuna</c:v>
                </c:pt>
                <c:pt idx="12">
                  <c:v>Türju</c:v>
                </c:pt>
              </c:strCache>
            </c:strRef>
          </c:cat>
          <c:val>
            <c:numRef>
              <c:f>Leht3!$F$141:$F$153</c:f>
              <c:numCache>
                <c:formatCode>0.00</c:formatCode>
                <c:ptCount val="13"/>
                <c:pt idx="0">
                  <c:v>522</c:v>
                </c:pt>
                <c:pt idx="1">
                  <c:v>6976</c:v>
                </c:pt>
                <c:pt idx="2">
                  <c:v>1023</c:v>
                </c:pt>
                <c:pt idx="3">
                  <c:v>6132</c:v>
                </c:pt>
                <c:pt idx="4">
                  <c:v>29</c:v>
                </c:pt>
                <c:pt idx="5">
                  <c:v>0</c:v>
                </c:pt>
                <c:pt idx="6">
                  <c:v>231</c:v>
                </c:pt>
                <c:pt idx="7">
                  <c:v>85</c:v>
                </c:pt>
                <c:pt idx="8">
                  <c:v>184</c:v>
                </c:pt>
                <c:pt idx="9">
                  <c:v>4002</c:v>
                </c:pt>
                <c:pt idx="10">
                  <c:v>5143</c:v>
                </c:pt>
                <c:pt idx="11">
                  <c:v>39</c:v>
                </c:pt>
                <c:pt idx="12">
                  <c:v>685</c:v>
                </c:pt>
              </c:numCache>
            </c:numRef>
          </c:val>
          <c:extLst>
            <c:ext xmlns:c16="http://schemas.microsoft.com/office/drawing/2014/chart" uri="{C3380CC4-5D6E-409C-BE32-E72D297353CC}">
              <c16:uniqueId val="{00000004-7ADB-4EC2-8708-A2B0B219E829}"/>
            </c:ext>
          </c:extLst>
        </c:ser>
        <c:ser>
          <c:idx val="5"/>
          <c:order val="5"/>
          <c:tx>
            <c:strRef>
              <c:f>Leht3!$G$140</c:f>
              <c:strCache>
                <c:ptCount val="1"/>
                <c:pt idx="0">
                  <c:v>2021</c:v>
                </c:pt>
              </c:strCache>
            </c:strRef>
          </c:tx>
          <c:spPr>
            <a:solidFill>
              <a:schemeClr val="accent6"/>
            </a:solidFill>
            <a:ln>
              <a:noFill/>
            </a:ln>
            <a:effectLst/>
          </c:spPr>
          <c:invertIfNegative val="0"/>
          <c:cat>
            <c:strRef>
              <c:f>Leht3!$A$141:$A$153</c:f>
              <c:strCache>
                <c:ptCount val="13"/>
                <c:pt idx="0">
                  <c:v>Jämaja</c:v>
                </c:pt>
                <c:pt idx="1">
                  <c:v>Kaavi paadisadam</c:v>
                </c:pt>
                <c:pt idx="2">
                  <c:v>Karuste</c:v>
                </c:pt>
                <c:pt idx="3">
                  <c:v>Kaunispe sadam</c:v>
                </c:pt>
                <c:pt idx="4">
                  <c:v>Lindmetsa</c:v>
                </c:pt>
                <c:pt idx="5">
                  <c:v>Loode</c:v>
                </c:pt>
                <c:pt idx="6">
                  <c:v>Läbara</c:v>
                </c:pt>
                <c:pt idx="7">
                  <c:v>Mõntu Sadam</c:v>
                </c:pt>
                <c:pt idx="8">
                  <c:v>Mõntu Väikelaevasadam</c:v>
                </c:pt>
                <c:pt idx="9">
                  <c:v>Mäebe sadam</c:v>
                </c:pt>
                <c:pt idx="10">
                  <c:v>Sääre  Sõrve säär</c:v>
                </c:pt>
                <c:pt idx="11">
                  <c:v>Tammuna</c:v>
                </c:pt>
                <c:pt idx="12">
                  <c:v>Türju</c:v>
                </c:pt>
              </c:strCache>
            </c:strRef>
          </c:cat>
          <c:val>
            <c:numRef>
              <c:f>Leht3!$G$141:$G$153</c:f>
              <c:numCache>
                <c:formatCode>0.00</c:formatCode>
                <c:ptCount val="13"/>
                <c:pt idx="0">
                  <c:v>333.7</c:v>
                </c:pt>
                <c:pt idx="1">
                  <c:v>2461.1</c:v>
                </c:pt>
                <c:pt idx="2">
                  <c:v>781</c:v>
                </c:pt>
                <c:pt idx="3">
                  <c:v>444.45</c:v>
                </c:pt>
                <c:pt idx="4">
                  <c:v>318</c:v>
                </c:pt>
                <c:pt idx="5">
                  <c:v>20</c:v>
                </c:pt>
                <c:pt idx="6">
                  <c:v>76.8</c:v>
                </c:pt>
                <c:pt idx="7">
                  <c:v>110.5</c:v>
                </c:pt>
                <c:pt idx="8">
                  <c:v>42.5</c:v>
                </c:pt>
                <c:pt idx="9">
                  <c:v>2785.1</c:v>
                </c:pt>
                <c:pt idx="10">
                  <c:v>4356</c:v>
                </c:pt>
                <c:pt idx="11">
                  <c:v>6.9</c:v>
                </c:pt>
                <c:pt idx="12">
                  <c:v>701.4</c:v>
                </c:pt>
              </c:numCache>
            </c:numRef>
          </c:val>
          <c:extLst>
            <c:ext xmlns:c16="http://schemas.microsoft.com/office/drawing/2014/chart" uri="{C3380CC4-5D6E-409C-BE32-E72D297353CC}">
              <c16:uniqueId val="{00000005-7ADB-4EC2-8708-A2B0B219E829}"/>
            </c:ext>
          </c:extLst>
        </c:ser>
        <c:ser>
          <c:idx val="6"/>
          <c:order val="6"/>
          <c:tx>
            <c:strRef>
              <c:f>Leht3!$H$140</c:f>
              <c:strCache>
                <c:ptCount val="1"/>
                <c:pt idx="0">
                  <c:v>2022</c:v>
                </c:pt>
              </c:strCache>
            </c:strRef>
          </c:tx>
          <c:spPr>
            <a:solidFill>
              <a:schemeClr val="accent1">
                <a:lumMod val="60000"/>
              </a:schemeClr>
            </a:solidFill>
            <a:ln>
              <a:noFill/>
            </a:ln>
            <a:effectLst/>
          </c:spPr>
          <c:invertIfNegative val="0"/>
          <c:cat>
            <c:strRef>
              <c:f>Leht3!$A$141:$A$153</c:f>
              <c:strCache>
                <c:ptCount val="13"/>
                <c:pt idx="0">
                  <c:v>Jämaja</c:v>
                </c:pt>
                <c:pt idx="1">
                  <c:v>Kaavi paadisadam</c:v>
                </c:pt>
                <c:pt idx="2">
                  <c:v>Karuste</c:v>
                </c:pt>
                <c:pt idx="3">
                  <c:v>Kaunispe sadam</c:v>
                </c:pt>
                <c:pt idx="4">
                  <c:v>Lindmetsa</c:v>
                </c:pt>
                <c:pt idx="5">
                  <c:v>Loode</c:v>
                </c:pt>
                <c:pt idx="6">
                  <c:v>Läbara</c:v>
                </c:pt>
                <c:pt idx="7">
                  <c:v>Mõntu Sadam</c:v>
                </c:pt>
                <c:pt idx="8">
                  <c:v>Mõntu Väikelaevasadam</c:v>
                </c:pt>
                <c:pt idx="9">
                  <c:v>Mäebe sadam</c:v>
                </c:pt>
                <c:pt idx="10">
                  <c:v>Sääre  Sõrve säär</c:v>
                </c:pt>
                <c:pt idx="11">
                  <c:v>Tammuna</c:v>
                </c:pt>
                <c:pt idx="12">
                  <c:v>Türju</c:v>
                </c:pt>
              </c:strCache>
            </c:strRef>
          </c:cat>
          <c:val>
            <c:numRef>
              <c:f>Leht3!$H$141:$H$153</c:f>
              <c:numCache>
                <c:formatCode>0.00</c:formatCode>
                <c:ptCount val="13"/>
                <c:pt idx="0">
                  <c:v>297.5</c:v>
                </c:pt>
                <c:pt idx="1">
                  <c:v>2215.9</c:v>
                </c:pt>
                <c:pt idx="2">
                  <c:v>650.20000000000005</c:v>
                </c:pt>
                <c:pt idx="3">
                  <c:v>2217.6</c:v>
                </c:pt>
                <c:pt idx="4">
                  <c:v>501.6</c:v>
                </c:pt>
                <c:pt idx="5">
                  <c:v>42</c:v>
                </c:pt>
                <c:pt idx="6">
                  <c:v>15.5</c:v>
                </c:pt>
                <c:pt idx="7">
                  <c:v>93.5</c:v>
                </c:pt>
                <c:pt idx="8">
                  <c:v>0</c:v>
                </c:pt>
                <c:pt idx="9">
                  <c:v>3070.75</c:v>
                </c:pt>
                <c:pt idx="10">
                  <c:v>2647.6</c:v>
                </c:pt>
                <c:pt idx="11">
                  <c:v>0</c:v>
                </c:pt>
                <c:pt idx="12">
                  <c:v>1598.5</c:v>
                </c:pt>
              </c:numCache>
            </c:numRef>
          </c:val>
          <c:extLst>
            <c:ext xmlns:c16="http://schemas.microsoft.com/office/drawing/2014/chart" uri="{C3380CC4-5D6E-409C-BE32-E72D297353CC}">
              <c16:uniqueId val="{00000006-7ADB-4EC2-8708-A2B0B219E829}"/>
            </c:ext>
          </c:extLst>
        </c:ser>
        <c:dLbls>
          <c:showLegendKey val="0"/>
          <c:showVal val="0"/>
          <c:showCatName val="0"/>
          <c:showSerName val="0"/>
          <c:showPercent val="0"/>
          <c:showBubbleSize val="0"/>
        </c:dLbls>
        <c:gapWidth val="182"/>
        <c:axId val="529829120"/>
        <c:axId val="529827320"/>
      </c:barChart>
      <c:catAx>
        <c:axId val="52982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827320"/>
        <c:crosses val="autoZero"/>
        <c:auto val="1"/>
        <c:lblAlgn val="ctr"/>
        <c:lblOffset val="100"/>
        <c:noMultiLvlLbl val="0"/>
      </c:catAx>
      <c:valAx>
        <c:axId val="5298273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82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Valjala</a:t>
            </a:r>
            <a:r>
              <a:rPr lang="et-EE"/>
              <a:t> piirkonna lossimised (kg) 2016-2022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Leht3!$A$157</c:f>
              <c:strCache>
                <c:ptCount val="1"/>
                <c:pt idx="0">
                  <c:v>Kungla sadam</c:v>
                </c:pt>
              </c:strCache>
            </c:strRef>
          </c:tx>
          <c:spPr>
            <a:solidFill>
              <a:schemeClr val="accent1"/>
            </a:solidFill>
            <a:ln>
              <a:noFill/>
            </a:ln>
            <a:effectLst/>
          </c:spPr>
          <c:invertIfNegative val="0"/>
          <c:cat>
            <c:numRef>
              <c:f>Leht3!$B$156:$H$156</c:f>
              <c:numCache>
                <c:formatCode>0</c:formatCode>
                <c:ptCount val="7"/>
                <c:pt idx="0">
                  <c:v>2016</c:v>
                </c:pt>
                <c:pt idx="1">
                  <c:v>2017</c:v>
                </c:pt>
                <c:pt idx="2">
                  <c:v>2018</c:v>
                </c:pt>
                <c:pt idx="3">
                  <c:v>2019</c:v>
                </c:pt>
                <c:pt idx="4">
                  <c:v>2020</c:v>
                </c:pt>
                <c:pt idx="5">
                  <c:v>2021</c:v>
                </c:pt>
                <c:pt idx="6">
                  <c:v>2022</c:v>
                </c:pt>
              </c:numCache>
            </c:numRef>
          </c:cat>
          <c:val>
            <c:numRef>
              <c:f>Leht3!$B$157:$H$157</c:f>
              <c:numCache>
                <c:formatCode>0.00</c:formatCode>
                <c:ptCount val="7"/>
                <c:pt idx="0">
                  <c:v>3527.4</c:v>
                </c:pt>
                <c:pt idx="1">
                  <c:v>4585</c:v>
                </c:pt>
                <c:pt idx="2">
                  <c:v>3527</c:v>
                </c:pt>
                <c:pt idx="3">
                  <c:v>2318</c:v>
                </c:pt>
                <c:pt idx="4">
                  <c:v>3331</c:v>
                </c:pt>
                <c:pt idx="5">
                  <c:v>4746</c:v>
                </c:pt>
                <c:pt idx="6">
                  <c:v>2745</c:v>
                </c:pt>
              </c:numCache>
            </c:numRef>
          </c:val>
          <c:extLst>
            <c:ext xmlns:c16="http://schemas.microsoft.com/office/drawing/2014/chart" uri="{C3380CC4-5D6E-409C-BE32-E72D297353CC}">
              <c16:uniqueId val="{00000000-C95B-44A6-803A-8282A60BDC9E}"/>
            </c:ext>
          </c:extLst>
        </c:ser>
        <c:ser>
          <c:idx val="1"/>
          <c:order val="1"/>
          <c:tx>
            <c:strRef>
              <c:f>Leht3!$A$158</c:f>
              <c:strCache>
                <c:ptCount val="1"/>
                <c:pt idx="0">
                  <c:v>Turja sadam</c:v>
                </c:pt>
              </c:strCache>
            </c:strRef>
          </c:tx>
          <c:spPr>
            <a:solidFill>
              <a:schemeClr val="accent2"/>
            </a:solidFill>
            <a:ln>
              <a:noFill/>
            </a:ln>
            <a:effectLst/>
          </c:spPr>
          <c:invertIfNegative val="0"/>
          <c:cat>
            <c:numRef>
              <c:f>Leht3!$B$156:$H$156</c:f>
              <c:numCache>
                <c:formatCode>0</c:formatCode>
                <c:ptCount val="7"/>
                <c:pt idx="0">
                  <c:v>2016</c:v>
                </c:pt>
                <c:pt idx="1">
                  <c:v>2017</c:v>
                </c:pt>
                <c:pt idx="2">
                  <c:v>2018</c:v>
                </c:pt>
                <c:pt idx="3">
                  <c:v>2019</c:v>
                </c:pt>
                <c:pt idx="4">
                  <c:v>2020</c:v>
                </c:pt>
                <c:pt idx="5">
                  <c:v>2021</c:v>
                </c:pt>
                <c:pt idx="6">
                  <c:v>2022</c:v>
                </c:pt>
              </c:numCache>
            </c:numRef>
          </c:cat>
          <c:val>
            <c:numRef>
              <c:f>Leht3!$B$158:$H$158</c:f>
              <c:numCache>
                <c:formatCode>0.00</c:formatCode>
                <c:ptCount val="7"/>
                <c:pt idx="0">
                  <c:v>11185.5</c:v>
                </c:pt>
                <c:pt idx="1">
                  <c:v>11379.49</c:v>
                </c:pt>
                <c:pt idx="2">
                  <c:v>14123.5</c:v>
                </c:pt>
                <c:pt idx="3">
                  <c:v>15132.6</c:v>
                </c:pt>
                <c:pt idx="4">
                  <c:v>10432</c:v>
                </c:pt>
                <c:pt idx="5">
                  <c:v>8672.4</c:v>
                </c:pt>
                <c:pt idx="6">
                  <c:v>16598</c:v>
                </c:pt>
              </c:numCache>
            </c:numRef>
          </c:val>
          <c:extLst>
            <c:ext xmlns:c16="http://schemas.microsoft.com/office/drawing/2014/chart" uri="{C3380CC4-5D6E-409C-BE32-E72D297353CC}">
              <c16:uniqueId val="{00000001-C95B-44A6-803A-8282A60BDC9E}"/>
            </c:ext>
          </c:extLst>
        </c:ser>
        <c:dLbls>
          <c:showLegendKey val="0"/>
          <c:showVal val="0"/>
          <c:showCatName val="0"/>
          <c:showSerName val="0"/>
          <c:showPercent val="0"/>
          <c:showBubbleSize val="0"/>
        </c:dLbls>
        <c:gapWidth val="219"/>
        <c:overlap val="-27"/>
        <c:axId val="529916768"/>
        <c:axId val="529914608"/>
      </c:barChart>
      <c:catAx>
        <c:axId val="529916768"/>
        <c:scaling>
          <c:orientation val="minMax"/>
        </c:scaling>
        <c:delete val="0"/>
        <c:axPos val="b"/>
        <c:numFmt formatCode="0" sourceLinked="1"/>
        <c:majorTickMark val="none"/>
        <c:minorTickMark val="none"/>
        <c:tickLblPos val="nextTo"/>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914608"/>
        <c:crosses val="autoZero"/>
        <c:auto val="1"/>
        <c:lblAlgn val="ctr"/>
        <c:lblOffset val="100"/>
        <c:noMultiLvlLbl val="0"/>
      </c:catAx>
      <c:valAx>
        <c:axId val="529914608"/>
        <c:scaling>
          <c:orientation val="minMax"/>
          <c:max val="170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9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Kihelkonna piirkonna lossimised (kg) 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22049578860567057"/>
          <c:y val="0.12988266172610777"/>
          <c:w val="0.73265989942044807"/>
          <c:h val="0.7392734731687951"/>
        </c:manualLayout>
      </c:layout>
      <c:barChart>
        <c:barDir val="bar"/>
        <c:grouping val="clustered"/>
        <c:varyColors val="0"/>
        <c:ser>
          <c:idx val="0"/>
          <c:order val="0"/>
          <c:tx>
            <c:strRef>
              <c:f>Leht3!$B$3</c:f>
              <c:strCache>
                <c:ptCount val="1"/>
                <c:pt idx="0">
                  <c:v>2016</c:v>
                </c:pt>
              </c:strCache>
            </c:strRef>
          </c:tx>
          <c:spPr>
            <a:solidFill>
              <a:schemeClr val="accent1"/>
            </a:solidFill>
            <a:ln>
              <a:noFill/>
            </a:ln>
            <a:effectLst/>
          </c:spPr>
          <c:invertIfNegative val="0"/>
          <c:cat>
            <c:strRef>
              <c:f>Leht3!$A$4:$A$20</c:f>
              <c:strCache>
                <c:ptCount val="17"/>
                <c:pt idx="0">
                  <c:v>Abaja sadam</c:v>
                </c:pt>
                <c:pt idx="1">
                  <c:v>Abula</c:v>
                </c:pt>
                <c:pt idx="2">
                  <c:v>Jaagarahu sadam</c:v>
                </c:pt>
                <c:pt idx="3">
                  <c:v>Kesknõmme jahisadam</c:v>
                </c:pt>
                <c:pt idx="4">
                  <c:v>Kihelkonna</c:v>
                </c:pt>
                <c:pt idx="5">
                  <c:v>Kiirassaare</c:v>
                </c:pt>
                <c:pt idx="6">
                  <c:v>Kõruse</c:v>
                </c:pt>
                <c:pt idx="7">
                  <c:v>Onni</c:v>
                </c:pt>
                <c:pt idx="8">
                  <c:v>Papissaare sadam</c:v>
                </c:pt>
                <c:pt idx="9">
                  <c:v>Rannaküla Kihelkonna</c:v>
                </c:pt>
                <c:pt idx="10">
                  <c:v>Türdu</c:v>
                </c:pt>
                <c:pt idx="11">
                  <c:v>Undva</c:v>
                </c:pt>
                <c:pt idx="12">
                  <c:v>Uudepanga </c:v>
                </c:pt>
                <c:pt idx="13">
                  <c:v>Vaigu</c:v>
                </c:pt>
                <c:pt idx="14">
                  <c:v>Veere sadam</c:v>
                </c:pt>
                <c:pt idx="15">
                  <c:v>Vikati sadam</c:v>
                </c:pt>
                <c:pt idx="16">
                  <c:v>Vilsandi sadam</c:v>
                </c:pt>
              </c:strCache>
            </c:strRef>
          </c:cat>
          <c:val>
            <c:numRef>
              <c:f>Leht3!$B$4:$B$20</c:f>
              <c:numCache>
                <c:formatCode>0.00</c:formatCode>
                <c:ptCount val="17"/>
                <c:pt idx="0">
                  <c:v>171</c:v>
                </c:pt>
                <c:pt idx="1">
                  <c:v>392</c:v>
                </c:pt>
                <c:pt idx="2">
                  <c:v>1023.5</c:v>
                </c:pt>
                <c:pt idx="3">
                  <c:v>1186</c:v>
                </c:pt>
                <c:pt idx="4">
                  <c:v>8</c:v>
                </c:pt>
                <c:pt idx="5">
                  <c:v>196</c:v>
                </c:pt>
                <c:pt idx="6">
                  <c:v>483</c:v>
                </c:pt>
                <c:pt idx="7">
                  <c:v>1175.8</c:v>
                </c:pt>
                <c:pt idx="8">
                  <c:v>5321</c:v>
                </c:pt>
                <c:pt idx="9">
                  <c:v>44</c:v>
                </c:pt>
                <c:pt idx="10">
                  <c:v>3134.1</c:v>
                </c:pt>
                <c:pt idx="11">
                  <c:v>2297.9</c:v>
                </c:pt>
                <c:pt idx="12">
                  <c:v>115</c:v>
                </c:pt>
                <c:pt idx="13">
                  <c:v>1148</c:v>
                </c:pt>
                <c:pt idx="14">
                  <c:v>29887.4</c:v>
                </c:pt>
                <c:pt idx="15">
                  <c:v>575</c:v>
                </c:pt>
                <c:pt idx="16">
                  <c:v>15.5</c:v>
                </c:pt>
              </c:numCache>
            </c:numRef>
          </c:val>
          <c:extLst>
            <c:ext xmlns:c16="http://schemas.microsoft.com/office/drawing/2014/chart" uri="{C3380CC4-5D6E-409C-BE32-E72D297353CC}">
              <c16:uniqueId val="{00000000-1C4E-4A7B-B6CB-D90954AB1F40}"/>
            </c:ext>
          </c:extLst>
        </c:ser>
        <c:ser>
          <c:idx val="1"/>
          <c:order val="1"/>
          <c:tx>
            <c:strRef>
              <c:f>Leht3!$C$3</c:f>
              <c:strCache>
                <c:ptCount val="1"/>
                <c:pt idx="0">
                  <c:v>2017</c:v>
                </c:pt>
              </c:strCache>
            </c:strRef>
          </c:tx>
          <c:spPr>
            <a:solidFill>
              <a:schemeClr val="accent2"/>
            </a:solidFill>
            <a:ln>
              <a:noFill/>
            </a:ln>
            <a:effectLst/>
          </c:spPr>
          <c:invertIfNegative val="0"/>
          <c:cat>
            <c:strRef>
              <c:f>Leht3!$A$4:$A$20</c:f>
              <c:strCache>
                <c:ptCount val="17"/>
                <c:pt idx="0">
                  <c:v>Abaja sadam</c:v>
                </c:pt>
                <c:pt idx="1">
                  <c:v>Abula</c:v>
                </c:pt>
                <c:pt idx="2">
                  <c:v>Jaagarahu sadam</c:v>
                </c:pt>
                <c:pt idx="3">
                  <c:v>Kesknõmme jahisadam</c:v>
                </c:pt>
                <c:pt idx="4">
                  <c:v>Kihelkonna</c:v>
                </c:pt>
                <c:pt idx="5">
                  <c:v>Kiirassaare</c:v>
                </c:pt>
                <c:pt idx="6">
                  <c:v>Kõruse</c:v>
                </c:pt>
                <c:pt idx="7">
                  <c:v>Onni</c:v>
                </c:pt>
                <c:pt idx="8">
                  <c:v>Papissaare sadam</c:v>
                </c:pt>
                <c:pt idx="9">
                  <c:v>Rannaküla Kihelkonna</c:v>
                </c:pt>
                <c:pt idx="10">
                  <c:v>Türdu</c:v>
                </c:pt>
                <c:pt idx="11">
                  <c:v>Undva</c:v>
                </c:pt>
                <c:pt idx="12">
                  <c:v>Uudepanga </c:v>
                </c:pt>
                <c:pt idx="13">
                  <c:v>Vaigu</c:v>
                </c:pt>
                <c:pt idx="14">
                  <c:v>Veere sadam</c:v>
                </c:pt>
                <c:pt idx="15">
                  <c:v>Vikati sadam</c:v>
                </c:pt>
                <c:pt idx="16">
                  <c:v>Vilsandi sadam</c:v>
                </c:pt>
              </c:strCache>
            </c:strRef>
          </c:cat>
          <c:val>
            <c:numRef>
              <c:f>Leht3!$C$4:$C$20</c:f>
              <c:numCache>
                <c:formatCode>0.00</c:formatCode>
                <c:ptCount val="17"/>
                <c:pt idx="0">
                  <c:v>18</c:v>
                </c:pt>
                <c:pt idx="1">
                  <c:v>266</c:v>
                </c:pt>
                <c:pt idx="2">
                  <c:v>295.5</c:v>
                </c:pt>
                <c:pt idx="3">
                  <c:v>667</c:v>
                </c:pt>
                <c:pt idx="4">
                  <c:v>0</c:v>
                </c:pt>
                <c:pt idx="5">
                  <c:v>103</c:v>
                </c:pt>
                <c:pt idx="6">
                  <c:v>437.5</c:v>
                </c:pt>
                <c:pt idx="7">
                  <c:v>867.3</c:v>
                </c:pt>
                <c:pt idx="8">
                  <c:v>5164</c:v>
                </c:pt>
                <c:pt idx="9">
                  <c:v>55</c:v>
                </c:pt>
                <c:pt idx="10">
                  <c:v>1920.5</c:v>
                </c:pt>
                <c:pt idx="11">
                  <c:v>2732.4</c:v>
                </c:pt>
                <c:pt idx="12">
                  <c:v>298</c:v>
                </c:pt>
                <c:pt idx="13">
                  <c:v>0</c:v>
                </c:pt>
                <c:pt idx="14">
                  <c:v>19984.2</c:v>
                </c:pt>
                <c:pt idx="15">
                  <c:v>277.7</c:v>
                </c:pt>
                <c:pt idx="16">
                  <c:v>0</c:v>
                </c:pt>
              </c:numCache>
            </c:numRef>
          </c:val>
          <c:extLst>
            <c:ext xmlns:c16="http://schemas.microsoft.com/office/drawing/2014/chart" uri="{C3380CC4-5D6E-409C-BE32-E72D297353CC}">
              <c16:uniqueId val="{00000001-1C4E-4A7B-B6CB-D90954AB1F40}"/>
            </c:ext>
          </c:extLst>
        </c:ser>
        <c:ser>
          <c:idx val="2"/>
          <c:order val="2"/>
          <c:tx>
            <c:strRef>
              <c:f>Leht3!$D$3</c:f>
              <c:strCache>
                <c:ptCount val="1"/>
                <c:pt idx="0">
                  <c:v>2018</c:v>
                </c:pt>
              </c:strCache>
            </c:strRef>
          </c:tx>
          <c:spPr>
            <a:solidFill>
              <a:schemeClr val="accent3"/>
            </a:solidFill>
            <a:ln>
              <a:noFill/>
            </a:ln>
            <a:effectLst/>
          </c:spPr>
          <c:invertIfNegative val="0"/>
          <c:cat>
            <c:strRef>
              <c:f>Leht3!$A$4:$A$20</c:f>
              <c:strCache>
                <c:ptCount val="17"/>
                <c:pt idx="0">
                  <c:v>Abaja sadam</c:v>
                </c:pt>
                <c:pt idx="1">
                  <c:v>Abula</c:v>
                </c:pt>
                <c:pt idx="2">
                  <c:v>Jaagarahu sadam</c:v>
                </c:pt>
                <c:pt idx="3">
                  <c:v>Kesknõmme jahisadam</c:v>
                </c:pt>
                <c:pt idx="4">
                  <c:v>Kihelkonna</c:v>
                </c:pt>
                <c:pt idx="5">
                  <c:v>Kiirassaare</c:v>
                </c:pt>
                <c:pt idx="6">
                  <c:v>Kõruse</c:v>
                </c:pt>
                <c:pt idx="7">
                  <c:v>Onni</c:v>
                </c:pt>
                <c:pt idx="8">
                  <c:v>Papissaare sadam</c:v>
                </c:pt>
                <c:pt idx="9">
                  <c:v>Rannaküla Kihelkonna</c:v>
                </c:pt>
                <c:pt idx="10">
                  <c:v>Türdu</c:v>
                </c:pt>
                <c:pt idx="11">
                  <c:v>Undva</c:v>
                </c:pt>
                <c:pt idx="12">
                  <c:v>Uudepanga </c:v>
                </c:pt>
                <c:pt idx="13">
                  <c:v>Vaigu</c:v>
                </c:pt>
                <c:pt idx="14">
                  <c:v>Veere sadam</c:v>
                </c:pt>
                <c:pt idx="15">
                  <c:v>Vikati sadam</c:v>
                </c:pt>
                <c:pt idx="16">
                  <c:v>Vilsandi sadam</c:v>
                </c:pt>
              </c:strCache>
            </c:strRef>
          </c:cat>
          <c:val>
            <c:numRef>
              <c:f>Leht3!$D$4:$D$20</c:f>
              <c:numCache>
                <c:formatCode>0.00</c:formatCode>
                <c:ptCount val="17"/>
                <c:pt idx="0">
                  <c:v>15</c:v>
                </c:pt>
                <c:pt idx="1">
                  <c:v>81</c:v>
                </c:pt>
                <c:pt idx="2">
                  <c:v>369</c:v>
                </c:pt>
                <c:pt idx="3">
                  <c:v>496</c:v>
                </c:pt>
                <c:pt idx="4">
                  <c:v>0</c:v>
                </c:pt>
                <c:pt idx="5">
                  <c:v>132</c:v>
                </c:pt>
                <c:pt idx="6">
                  <c:v>1163</c:v>
                </c:pt>
                <c:pt idx="7">
                  <c:v>715.2</c:v>
                </c:pt>
                <c:pt idx="8">
                  <c:v>3150</c:v>
                </c:pt>
                <c:pt idx="9">
                  <c:v>0</c:v>
                </c:pt>
                <c:pt idx="10">
                  <c:v>582.20000000000005</c:v>
                </c:pt>
                <c:pt idx="11">
                  <c:v>1566.1</c:v>
                </c:pt>
                <c:pt idx="12">
                  <c:v>188.5</c:v>
                </c:pt>
                <c:pt idx="13">
                  <c:v>233.5</c:v>
                </c:pt>
                <c:pt idx="14">
                  <c:v>19491.099999999999</c:v>
                </c:pt>
                <c:pt idx="15">
                  <c:v>753.2</c:v>
                </c:pt>
                <c:pt idx="16">
                  <c:v>240</c:v>
                </c:pt>
              </c:numCache>
            </c:numRef>
          </c:val>
          <c:extLst>
            <c:ext xmlns:c16="http://schemas.microsoft.com/office/drawing/2014/chart" uri="{C3380CC4-5D6E-409C-BE32-E72D297353CC}">
              <c16:uniqueId val="{00000002-1C4E-4A7B-B6CB-D90954AB1F40}"/>
            </c:ext>
          </c:extLst>
        </c:ser>
        <c:ser>
          <c:idx val="3"/>
          <c:order val="3"/>
          <c:tx>
            <c:strRef>
              <c:f>Leht3!$E$3</c:f>
              <c:strCache>
                <c:ptCount val="1"/>
                <c:pt idx="0">
                  <c:v>2019</c:v>
                </c:pt>
              </c:strCache>
            </c:strRef>
          </c:tx>
          <c:spPr>
            <a:solidFill>
              <a:schemeClr val="accent4"/>
            </a:solidFill>
            <a:ln>
              <a:noFill/>
            </a:ln>
            <a:effectLst/>
          </c:spPr>
          <c:invertIfNegative val="0"/>
          <c:cat>
            <c:strRef>
              <c:f>Leht3!$A$4:$A$20</c:f>
              <c:strCache>
                <c:ptCount val="17"/>
                <c:pt idx="0">
                  <c:v>Abaja sadam</c:v>
                </c:pt>
                <c:pt idx="1">
                  <c:v>Abula</c:v>
                </c:pt>
                <c:pt idx="2">
                  <c:v>Jaagarahu sadam</c:v>
                </c:pt>
                <c:pt idx="3">
                  <c:v>Kesknõmme jahisadam</c:v>
                </c:pt>
                <c:pt idx="4">
                  <c:v>Kihelkonna</c:v>
                </c:pt>
                <c:pt idx="5">
                  <c:v>Kiirassaare</c:v>
                </c:pt>
                <c:pt idx="6">
                  <c:v>Kõruse</c:v>
                </c:pt>
                <c:pt idx="7">
                  <c:v>Onni</c:v>
                </c:pt>
                <c:pt idx="8">
                  <c:v>Papissaare sadam</c:v>
                </c:pt>
                <c:pt idx="9">
                  <c:v>Rannaküla Kihelkonna</c:v>
                </c:pt>
                <c:pt idx="10">
                  <c:v>Türdu</c:v>
                </c:pt>
                <c:pt idx="11">
                  <c:v>Undva</c:v>
                </c:pt>
                <c:pt idx="12">
                  <c:v>Uudepanga </c:v>
                </c:pt>
                <c:pt idx="13">
                  <c:v>Vaigu</c:v>
                </c:pt>
                <c:pt idx="14">
                  <c:v>Veere sadam</c:v>
                </c:pt>
                <c:pt idx="15">
                  <c:v>Vikati sadam</c:v>
                </c:pt>
                <c:pt idx="16">
                  <c:v>Vilsandi sadam</c:v>
                </c:pt>
              </c:strCache>
            </c:strRef>
          </c:cat>
          <c:val>
            <c:numRef>
              <c:f>Leht3!$E$4:$E$20</c:f>
              <c:numCache>
                <c:formatCode>0.00</c:formatCode>
                <c:ptCount val="17"/>
                <c:pt idx="0">
                  <c:v>56</c:v>
                </c:pt>
                <c:pt idx="1">
                  <c:v>397.7</c:v>
                </c:pt>
                <c:pt idx="2">
                  <c:v>349.3</c:v>
                </c:pt>
                <c:pt idx="3">
                  <c:v>1426</c:v>
                </c:pt>
                <c:pt idx="4">
                  <c:v>28</c:v>
                </c:pt>
                <c:pt idx="5">
                  <c:v>231.5</c:v>
                </c:pt>
                <c:pt idx="6">
                  <c:v>1062.3</c:v>
                </c:pt>
                <c:pt idx="7">
                  <c:v>547.5</c:v>
                </c:pt>
                <c:pt idx="8">
                  <c:v>2746.5</c:v>
                </c:pt>
                <c:pt idx="9">
                  <c:v>0</c:v>
                </c:pt>
                <c:pt idx="10">
                  <c:v>349.3</c:v>
                </c:pt>
                <c:pt idx="11">
                  <c:v>2393.1</c:v>
                </c:pt>
                <c:pt idx="12">
                  <c:v>110</c:v>
                </c:pt>
                <c:pt idx="13">
                  <c:v>145</c:v>
                </c:pt>
                <c:pt idx="14">
                  <c:v>16975</c:v>
                </c:pt>
                <c:pt idx="15">
                  <c:v>874.2</c:v>
                </c:pt>
                <c:pt idx="16">
                  <c:v>0</c:v>
                </c:pt>
              </c:numCache>
            </c:numRef>
          </c:val>
          <c:extLst>
            <c:ext xmlns:c16="http://schemas.microsoft.com/office/drawing/2014/chart" uri="{C3380CC4-5D6E-409C-BE32-E72D297353CC}">
              <c16:uniqueId val="{00000003-1C4E-4A7B-B6CB-D90954AB1F40}"/>
            </c:ext>
          </c:extLst>
        </c:ser>
        <c:ser>
          <c:idx val="4"/>
          <c:order val="4"/>
          <c:tx>
            <c:strRef>
              <c:f>Leht3!$F$3</c:f>
              <c:strCache>
                <c:ptCount val="1"/>
                <c:pt idx="0">
                  <c:v>2020</c:v>
                </c:pt>
              </c:strCache>
            </c:strRef>
          </c:tx>
          <c:spPr>
            <a:solidFill>
              <a:schemeClr val="accent5"/>
            </a:solidFill>
            <a:ln>
              <a:noFill/>
            </a:ln>
            <a:effectLst/>
          </c:spPr>
          <c:invertIfNegative val="0"/>
          <c:cat>
            <c:strRef>
              <c:f>Leht3!$A$4:$A$20</c:f>
              <c:strCache>
                <c:ptCount val="17"/>
                <c:pt idx="0">
                  <c:v>Abaja sadam</c:v>
                </c:pt>
                <c:pt idx="1">
                  <c:v>Abula</c:v>
                </c:pt>
                <c:pt idx="2">
                  <c:v>Jaagarahu sadam</c:v>
                </c:pt>
                <c:pt idx="3">
                  <c:v>Kesknõmme jahisadam</c:v>
                </c:pt>
                <c:pt idx="4">
                  <c:v>Kihelkonna</c:v>
                </c:pt>
                <c:pt idx="5">
                  <c:v>Kiirassaare</c:v>
                </c:pt>
                <c:pt idx="6">
                  <c:v>Kõruse</c:v>
                </c:pt>
                <c:pt idx="7">
                  <c:v>Onni</c:v>
                </c:pt>
                <c:pt idx="8">
                  <c:v>Papissaare sadam</c:v>
                </c:pt>
                <c:pt idx="9">
                  <c:v>Rannaküla Kihelkonna</c:v>
                </c:pt>
                <c:pt idx="10">
                  <c:v>Türdu</c:v>
                </c:pt>
                <c:pt idx="11">
                  <c:v>Undva</c:v>
                </c:pt>
                <c:pt idx="12">
                  <c:v>Uudepanga </c:v>
                </c:pt>
                <c:pt idx="13">
                  <c:v>Vaigu</c:v>
                </c:pt>
                <c:pt idx="14">
                  <c:v>Veere sadam</c:v>
                </c:pt>
                <c:pt idx="15">
                  <c:v>Vikati sadam</c:v>
                </c:pt>
                <c:pt idx="16">
                  <c:v>Vilsandi sadam</c:v>
                </c:pt>
              </c:strCache>
            </c:strRef>
          </c:cat>
          <c:val>
            <c:numRef>
              <c:f>Leht3!$F$4:$F$20</c:f>
              <c:numCache>
                <c:formatCode>0.00</c:formatCode>
                <c:ptCount val="17"/>
                <c:pt idx="0">
                  <c:v>436</c:v>
                </c:pt>
                <c:pt idx="1">
                  <c:v>420</c:v>
                </c:pt>
                <c:pt idx="2">
                  <c:v>616</c:v>
                </c:pt>
                <c:pt idx="3">
                  <c:v>419</c:v>
                </c:pt>
                <c:pt idx="4">
                  <c:v>3</c:v>
                </c:pt>
                <c:pt idx="5">
                  <c:v>226</c:v>
                </c:pt>
                <c:pt idx="6">
                  <c:v>504</c:v>
                </c:pt>
                <c:pt idx="7">
                  <c:v>344</c:v>
                </c:pt>
                <c:pt idx="8">
                  <c:v>993</c:v>
                </c:pt>
                <c:pt idx="9">
                  <c:v>0</c:v>
                </c:pt>
                <c:pt idx="10">
                  <c:v>1832</c:v>
                </c:pt>
                <c:pt idx="11">
                  <c:v>6586</c:v>
                </c:pt>
                <c:pt idx="12">
                  <c:v>149</c:v>
                </c:pt>
                <c:pt idx="13">
                  <c:v>535</c:v>
                </c:pt>
                <c:pt idx="14">
                  <c:v>18271</c:v>
                </c:pt>
                <c:pt idx="15">
                  <c:v>71</c:v>
                </c:pt>
                <c:pt idx="16">
                  <c:v>926</c:v>
                </c:pt>
              </c:numCache>
            </c:numRef>
          </c:val>
          <c:extLst>
            <c:ext xmlns:c16="http://schemas.microsoft.com/office/drawing/2014/chart" uri="{C3380CC4-5D6E-409C-BE32-E72D297353CC}">
              <c16:uniqueId val="{00000004-1C4E-4A7B-B6CB-D90954AB1F40}"/>
            </c:ext>
          </c:extLst>
        </c:ser>
        <c:ser>
          <c:idx val="5"/>
          <c:order val="5"/>
          <c:tx>
            <c:strRef>
              <c:f>Leht3!$G$3</c:f>
              <c:strCache>
                <c:ptCount val="1"/>
                <c:pt idx="0">
                  <c:v>2021</c:v>
                </c:pt>
              </c:strCache>
            </c:strRef>
          </c:tx>
          <c:spPr>
            <a:solidFill>
              <a:schemeClr val="accent6"/>
            </a:solidFill>
            <a:ln>
              <a:noFill/>
            </a:ln>
            <a:effectLst/>
          </c:spPr>
          <c:invertIfNegative val="0"/>
          <c:cat>
            <c:strRef>
              <c:f>Leht3!$A$4:$A$20</c:f>
              <c:strCache>
                <c:ptCount val="17"/>
                <c:pt idx="0">
                  <c:v>Abaja sadam</c:v>
                </c:pt>
                <c:pt idx="1">
                  <c:v>Abula</c:v>
                </c:pt>
                <c:pt idx="2">
                  <c:v>Jaagarahu sadam</c:v>
                </c:pt>
                <c:pt idx="3">
                  <c:v>Kesknõmme jahisadam</c:v>
                </c:pt>
                <c:pt idx="4">
                  <c:v>Kihelkonna</c:v>
                </c:pt>
                <c:pt idx="5">
                  <c:v>Kiirassaare</c:v>
                </c:pt>
                <c:pt idx="6">
                  <c:v>Kõruse</c:v>
                </c:pt>
                <c:pt idx="7">
                  <c:v>Onni</c:v>
                </c:pt>
                <c:pt idx="8">
                  <c:v>Papissaare sadam</c:v>
                </c:pt>
                <c:pt idx="9">
                  <c:v>Rannaküla Kihelkonna</c:v>
                </c:pt>
                <c:pt idx="10">
                  <c:v>Türdu</c:v>
                </c:pt>
                <c:pt idx="11">
                  <c:v>Undva</c:v>
                </c:pt>
                <c:pt idx="12">
                  <c:v>Uudepanga </c:v>
                </c:pt>
                <c:pt idx="13">
                  <c:v>Vaigu</c:v>
                </c:pt>
                <c:pt idx="14">
                  <c:v>Veere sadam</c:v>
                </c:pt>
                <c:pt idx="15">
                  <c:v>Vikati sadam</c:v>
                </c:pt>
                <c:pt idx="16">
                  <c:v>Vilsandi sadam</c:v>
                </c:pt>
              </c:strCache>
            </c:strRef>
          </c:cat>
          <c:val>
            <c:numRef>
              <c:f>Leht3!$G$4:$G$20</c:f>
              <c:numCache>
                <c:formatCode>0.00</c:formatCode>
                <c:ptCount val="17"/>
                <c:pt idx="0">
                  <c:v>649</c:v>
                </c:pt>
                <c:pt idx="1">
                  <c:v>556.29999999999995</c:v>
                </c:pt>
                <c:pt idx="2">
                  <c:v>830.7</c:v>
                </c:pt>
                <c:pt idx="3">
                  <c:v>17</c:v>
                </c:pt>
                <c:pt idx="4">
                  <c:v>0</c:v>
                </c:pt>
                <c:pt idx="5">
                  <c:v>74</c:v>
                </c:pt>
                <c:pt idx="6">
                  <c:v>874</c:v>
                </c:pt>
                <c:pt idx="7">
                  <c:v>95</c:v>
                </c:pt>
                <c:pt idx="8">
                  <c:v>829</c:v>
                </c:pt>
                <c:pt idx="9" formatCode="General">
                  <c:v>0</c:v>
                </c:pt>
                <c:pt idx="10">
                  <c:v>2455.5</c:v>
                </c:pt>
                <c:pt idx="11">
                  <c:v>2661.6</c:v>
                </c:pt>
                <c:pt idx="12">
                  <c:v>19</c:v>
                </c:pt>
                <c:pt idx="13">
                  <c:v>152.19999999999999</c:v>
                </c:pt>
                <c:pt idx="14">
                  <c:v>15563.15</c:v>
                </c:pt>
                <c:pt idx="15">
                  <c:v>820.6</c:v>
                </c:pt>
                <c:pt idx="16">
                  <c:v>51.5</c:v>
                </c:pt>
              </c:numCache>
            </c:numRef>
          </c:val>
          <c:extLst>
            <c:ext xmlns:c16="http://schemas.microsoft.com/office/drawing/2014/chart" uri="{C3380CC4-5D6E-409C-BE32-E72D297353CC}">
              <c16:uniqueId val="{00000005-1C4E-4A7B-B6CB-D90954AB1F40}"/>
            </c:ext>
          </c:extLst>
        </c:ser>
        <c:ser>
          <c:idx val="6"/>
          <c:order val="6"/>
          <c:tx>
            <c:strRef>
              <c:f>Leht3!$H$3</c:f>
              <c:strCache>
                <c:ptCount val="1"/>
                <c:pt idx="0">
                  <c:v>2022</c:v>
                </c:pt>
              </c:strCache>
            </c:strRef>
          </c:tx>
          <c:spPr>
            <a:solidFill>
              <a:schemeClr val="accent1">
                <a:lumMod val="60000"/>
              </a:schemeClr>
            </a:solidFill>
            <a:ln>
              <a:noFill/>
            </a:ln>
            <a:effectLst/>
          </c:spPr>
          <c:invertIfNegative val="0"/>
          <c:cat>
            <c:strRef>
              <c:f>Leht3!$A$4:$A$20</c:f>
              <c:strCache>
                <c:ptCount val="17"/>
                <c:pt idx="0">
                  <c:v>Abaja sadam</c:v>
                </c:pt>
                <c:pt idx="1">
                  <c:v>Abula</c:v>
                </c:pt>
                <c:pt idx="2">
                  <c:v>Jaagarahu sadam</c:v>
                </c:pt>
                <c:pt idx="3">
                  <c:v>Kesknõmme jahisadam</c:v>
                </c:pt>
                <c:pt idx="4">
                  <c:v>Kihelkonna</c:v>
                </c:pt>
                <c:pt idx="5">
                  <c:v>Kiirassaare</c:v>
                </c:pt>
                <c:pt idx="6">
                  <c:v>Kõruse</c:v>
                </c:pt>
                <c:pt idx="7">
                  <c:v>Onni</c:v>
                </c:pt>
                <c:pt idx="8">
                  <c:v>Papissaare sadam</c:v>
                </c:pt>
                <c:pt idx="9">
                  <c:v>Rannaküla Kihelkonna</c:v>
                </c:pt>
                <c:pt idx="10">
                  <c:v>Türdu</c:v>
                </c:pt>
                <c:pt idx="11">
                  <c:v>Undva</c:v>
                </c:pt>
                <c:pt idx="12">
                  <c:v>Uudepanga </c:v>
                </c:pt>
                <c:pt idx="13">
                  <c:v>Vaigu</c:v>
                </c:pt>
                <c:pt idx="14">
                  <c:v>Veere sadam</c:v>
                </c:pt>
                <c:pt idx="15">
                  <c:v>Vikati sadam</c:v>
                </c:pt>
                <c:pt idx="16">
                  <c:v>Vilsandi sadam</c:v>
                </c:pt>
              </c:strCache>
            </c:strRef>
          </c:cat>
          <c:val>
            <c:numRef>
              <c:f>Leht3!$H$4:$H$20</c:f>
              <c:numCache>
                <c:formatCode>0.00</c:formatCode>
                <c:ptCount val="17"/>
                <c:pt idx="0">
                  <c:v>770</c:v>
                </c:pt>
                <c:pt idx="1">
                  <c:v>586.20000000000005</c:v>
                </c:pt>
                <c:pt idx="2">
                  <c:v>1757</c:v>
                </c:pt>
                <c:pt idx="3">
                  <c:v>80.5</c:v>
                </c:pt>
                <c:pt idx="4">
                  <c:v>0</c:v>
                </c:pt>
                <c:pt idx="5">
                  <c:v>62</c:v>
                </c:pt>
                <c:pt idx="6">
                  <c:v>1401</c:v>
                </c:pt>
                <c:pt idx="7">
                  <c:v>69</c:v>
                </c:pt>
                <c:pt idx="8">
                  <c:v>2624</c:v>
                </c:pt>
                <c:pt idx="9">
                  <c:v>0</c:v>
                </c:pt>
                <c:pt idx="10">
                  <c:v>3455</c:v>
                </c:pt>
                <c:pt idx="11">
                  <c:v>1772.1</c:v>
                </c:pt>
                <c:pt idx="12">
                  <c:v>27</c:v>
                </c:pt>
                <c:pt idx="13">
                  <c:v>409</c:v>
                </c:pt>
                <c:pt idx="14">
                  <c:v>11342.75</c:v>
                </c:pt>
                <c:pt idx="15">
                  <c:v>747.2</c:v>
                </c:pt>
                <c:pt idx="16">
                  <c:v>260</c:v>
                </c:pt>
              </c:numCache>
            </c:numRef>
          </c:val>
          <c:extLst>
            <c:ext xmlns:c16="http://schemas.microsoft.com/office/drawing/2014/chart" uri="{C3380CC4-5D6E-409C-BE32-E72D297353CC}">
              <c16:uniqueId val="{00000006-1C4E-4A7B-B6CB-D90954AB1F40}"/>
            </c:ext>
          </c:extLst>
        </c:ser>
        <c:dLbls>
          <c:showLegendKey val="0"/>
          <c:showVal val="0"/>
          <c:showCatName val="0"/>
          <c:showSerName val="0"/>
          <c:showPercent val="0"/>
          <c:showBubbleSize val="0"/>
        </c:dLbls>
        <c:gapWidth val="182"/>
        <c:axId val="485353968"/>
        <c:axId val="485350728"/>
      </c:barChart>
      <c:catAx>
        <c:axId val="48535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85350728"/>
        <c:crosses val="autoZero"/>
        <c:auto val="1"/>
        <c:lblAlgn val="ctr"/>
        <c:lblOffset val="100"/>
        <c:noMultiLvlLbl val="0"/>
      </c:catAx>
      <c:valAx>
        <c:axId val="4853507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8535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Kuressaare piirkonna lossimised (kg)  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Leht3!$A$24</c:f>
              <c:strCache>
                <c:ptCount val="1"/>
                <c:pt idx="0">
                  <c:v>Kuressaare sadam</c:v>
                </c:pt>
              </c:strCache>
            </c:strRef>
          </c:tx>
          <c:spPr>
            <a:solidFill>
              <a:schemeClr val="accent1"/>
            </a:solidFill>
            <a:ln>
              <a:noFill/>
            </a:ln>
            <a:effectLst/>
          </c:spPr>
          <c:invertIfNegative val="0"/>
          <c:cat>
            <c:numRef>
              <c:f>Leht3!$B$23:$H$23</c:f>
              <c:numCache>
                <c:formatCode>0</c:formatCode>
                <c:ptCount val="7"/>
                <c:pt idx="0">
                  <c:v>2016</c:v>
                </c:pt>
                <c:pt idx="1">
                  <c:v>2017</c:v>
                </c:pt>
                <c:pt idx="2">
                  <c:v>2018</c:v>
                </c:pt>
                <c:pt idx="3">
                  <c:v>2019</c:v>
                </c:pt>
                <c:pt idx="4">
                  <c:v>2020</c:v>
                </c:pt>
                <c:pt idx="5">
                  <c:v>2021</c:v>
                </c:pt>
                <c:pt idx="6">
                  <c:v>2022</c:v>
                </c:pt>
              </c:numCache>
            </c:numRef>
          </c:cat>
          <c:val>
            <c:numRef>
              <c:f>Leht3!$B$24:$H$24</c:f>
              <c:numCache>
                <c:formatCode>0.00</c:formatCode>
                <c:ptCount val="7"/>
                <c:pt idx="0">
                  <c:v>16</c:v>
                </c:pt>
                <c:pt idx="1">
                  <c:v>15</c:v>
                </c:pt>
                <c:pt idx="2">
                  <c:v>0</c:v>
                </c:pt>
                <c:pt idx="3">
                  <c:v>4</c:v>
                </c:pt>
                <c:pt idx="4">
                  <c:v>824</c:v>
                </c:pt>
                <c:pt idx="5">
                  <c:v>8</c:v>
                </c:pt>
                <c:pt idx="6">
                  <c:v>10</c:v>
                </c:pt>
              </c:numCache>
            </c:numRef>
          </c:val>
          <c:extLst>
            <c:ext xmlns:c16="http://schemas.microsoft.com/office/drawing/2014/chart" uri="{C3380CC4-5D6E-409C-BE32-E72D297353CC}">
              <c16:uniqueId val="{00000000-D734-4B3C-AA29-C8BFF3F26C5E}"/>
            </c:ext>
          </c:extLst>
        </c:ser>
        <c:ser>
          <c:idx val="1"/>
          <c:order val="1"/>
          <c:tx>
            <c:strRef>
              <c:f>Leht3!$A$25</c:f>
              <c:strCache>
                <c:ptCount val="1"/>
                <c:pt idx="0">
                  <c:v>Roomassaare sadam</c:v>
                </c:pt>
              </c:strCache>
            </c:strRef>
          </c:tx>
          <c:spPr>
            <a:solidFill>
              <a:schemeClr val="accent2"/>
            </a:solidFill>
            <a:ln>
              <a:noFill/>
            </a:ln>
            <a:effectLst/>
          </c:spPr>
          <c:invertIfNegative val="0"/>
          <c:cat>
            <c:numRef>
              <c:f>Leht3!$B$23:$H$23</c:f>
              <c:numCache>
                <c:formatCode>0</c:formatCode>
                <c:ptCount val="7"/>
                <c:pt idx="0">
                  <c:v>2016</c:v>
                </c:pt>
                <c:pt idx="1">
                  <c:v>2017</c:v>
                </c:pt>
                <c:pt idx="2">
                  <c:v>2018</c:v>
                </c:pt>
                <c:pt idx="3">
                  <c:v>2019</c:v>
                </c:pt>
                <c:pt idx="4">
                  <c:v>2020</c:v>
                </c:pt>
                <c:pt idx="5">
                  <c:v>2021</c:v>
                </c:pt>
                <c:pt idx="6">
                  <c:v>2022</c:v>
                </c:pt>
              </c:numCache>
            </c:numRef>
          </c:cat>
          <c:val>
            <c:numRef>
              <c:f>Leht3!$B$25:$H$25</c:f>
              <c:numCache>
                <c:formatCode>0.00</c:formatCode>
                <c:ptCount val="7"/>
                <c:pt idx="0">
                  <c:v>2723.7</c:v>
                </c:pt>
                <c:pt idx="1">
                  <c:v>2469</c:v>
                </c:pt>
                <c:pt idx="2">
                  <c:v>1398</c:v>
                </c:pt>
                <c:pt idx="3">
                  <c:v>3896.5</c:v>
                </c:pt>
                <c:pt idx="4">
                  <c:v>4505</c:v>
                </c:pt>
                <c:pt idx="5">
                  <c:v>1954.9</c:v>
                </c:pt>
                <c:pt idx="6">
                  <c:v>5483.8</c:v>
                </c:pt>
              </c:numCache>
            </c:numRef>
          </c:val>
          <c:extLst>
            <c:ext xmlns:c16="http://schemas.microsoft.com/office/drawing/2014/chart" uri="{C3380CC4-5D6E-409C-BE32-E72D297353CC}">
              <c16:uniqueId val="{00000001-D734-4B3C-AA29-C8BFF3F26C5E}"/>
            </c:ext>
          </c:extLst>
        </c:ser>
        <c:ser>
          <c:idx val="2"/>
          <c:order val="2"/>
          <c:tx>
            <c:strRef>
              <c:f>Leht3!$A$26</c:f>
              <c:strCache>
                <c:ptCount val="1"/>
                <c:pt idx="0">
                  <c:v>Tori</c:v>
                </c:pt>
              </c:strCache>
            </c:strRef>
          </c:tx>
          <c:spPr>
            <a:solidFill>
              <a:schemeClr val="accent3"/>
            </a:solidFill>
            <a:ln>
              <a:noFill/>
            </a:ln>
            <a:effectLst/>
          </c:spPr>
          <c:invertIfNegative val="0"/>
          <c:cat>
            <c:numRef>
              <c:f>Leht3!$B$23:$H$23</c:f>
              <c:numCache>
                <c:formatCode>0</c:formatCode>
                <c:ptCount val="7"/>
                <c:pt idx="0">
                  <c:v>2016</c:v>
                </c:pt>
                <c:pt idx="1">
                  <c:v>2017</c:v>
                </c:pt>
                <c:pt idx="2">
                  <c:v>2018</c:v>
                </c:pt>
                <c:pt idx="3">
                  <c:v>2019</c:v>
                </c:pt>
                <c:pt idx="4">
                  <c:v>2020</c:v>
                </c:pt>
                <c:pt idx="5">
                  <c:v>2021</c:v>
                </c:pt>
                <c:pt idx="6">
                  <c:v>2022</c:v>
                </c:pt>
              </c:numCache>
            </c:numRef>
          </c:cat>
          <c:val>
            <c:numRef>
              <c:f>Leht3!$B$26:$H$26</c:f>
              <c:numCache>
                <c:formatCode>0.00</c:formatCode>
                <c:ptCount val="7"/>
                <c:pt idx="0">
                  <c:v>8641</c:v>
                </c:pt>
                <c:pt idx="1">
                  <c:v>2629.5</c:v>
                </c:pt>
                <c:pt idx="2">
                  <c:v>1713</c:v>
                </c:pt>
                <c:pt idx="3">
                  <c:v>173</c:v>
                </c:pt>
                <c:pt idx="4">
                  <c:v>328</c:v>
                </c:pt>
                <c:pt idx="5">
                  <c:v>1379.5</c:v>
                </c:pt>
                <c:pt idx="6">
                  <c:v>454.5</c:v>
                </c:pt>
              </c:numCache>
            </c:numRef>
          </c:val>
          <c:extLst>
            <c:ext xmlns:c16="http://schemas.microsoft.com/office/drawing/2014/chart" uri="{C3380CC4-5D6E-409C-BE32-E72D297353CC}">
              <c16:uniqueId val="{00000002-D734-4B3C-AA29-C8BFF3F26C5E}"/>
            </c:ext>
          </c:extLst>
        </c:ser>
        <c:ser>
          <c:idx val="3"/>
          <c:order val="3"/>
          <c:tx>
            <c:strRef>
              <c:f>Leht3!$A$27</c:f>
              <c:strCache>
                <c:ptCount val="1"/>
                <c:pt idx="0">
                  <c:v>Tori jõesadam</c:v>
                </c:pt>
              </c:strCache>
            </c:strRef>
          </c:tx>
          <c:spPr>
            <a:solidFill>
              <a:schemeClr val="accent4"/>
            </a:solidFill>
            <a:ln>
              <a:noFill/>
            </a:ln>
            <a:effectLst/>
          </c:spPr>
          <c:invertIfNegative val="0"/>
          <c:cat>
            <c:numRef>
              <c:f>Leht3!$B$23:$H$23</c:f>
              <c:numCache>
                <c:formatCode>0</c:formatCode>
                <c:ptCount val="7"/>
                <c:pt idx="0">
                  <c:v>2016</c:v>
                </c:pt>
                <c:pt idx="1">
                  <c:v>2017</c:v>
                </c:pt>
                <c:pt idx="2">
                  <c:v>2018</c:v>
                </c:pt>
                <c:pt idx="3">
                  <c:v>2019</c:v>
                </c:pt>
                <c:pt idx="4">
                  <c:v>2020</c:v>
                </c:pt>
                <c:pt idx="5">
                  <c:v>2021</c:v>
                </c:pt>
                <c:pt idx="6">
                  <c:v>2022</c:v>
                </c:pt>
              </c:numCache>
            </c:numRef>
          </c:cat>
          <c:val>
            <c:numRef>
              <c:f>Leht3!$B$27:$H$27</c:f>
              <c:numCache>
                <c:formatCode>0.00</c:formatCode>
                <c:ptCount val="7"/>
                <c:pt idx="0">
                  <c:v>10080.299999999999</c:v>
                </c:pt>
                <c:pt idx="1">
                  <c:v>5125.1000000000004</c:v>
                </c:pt>
                <c:pt idx="2">
                  <c:v>10534.1</c:v>
                </c:pt>
                <c:pt idx="3">
                  <c:v>11622.5</c:v>
                </c:pt>
                <c:pt idx="4">
                  <c:v>15844</c:v>
                </c:pt>
                <c:pt idx="5">
                  <c:v>9889</c:v>
                </c:pt>
                <c:pt idx="6">
                  <c:v>12425.6</c:v>
                </c:pt>
              </c:numCache>
            </c:numRef>
          </c:val>
          <c:extLst>
            <c:ext xmlns:c16="http://schemas.microsoft.com/office/drawing/2014/chart" uri="{C3380CC4-5D6E-409C-BE32-E72D297353CC}">
              <c16:uniqueId val="{00000003-D734-4B3C-AA29-C8BFF3F26C5E}"/>
            </c:ext>
          </c:extLst>
        </c:ser>
        <c:dLbls>
          <c:showLegendKey val="0"/>
          <c:showVal val="0"/>
          <c:showCatName val="0"/>
          <c:showSerName val="0"/>
          <c:showPercent val="0"/>
          <c:showBubbleSize val="0"/>
        </c:dLbls>
        <c:gapWidth val="219"/>
        <c:overlap val="-27"/>
        <c:axId val="590882128"/>
        <c:axId val="590877448"/>
      </c:barChart>
      <c:catAx>
        <c:axId val="5908821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0877448"/>
        <c:crosses val="autoZero"/>
        <c:auto val="1"/>
        <c:lblAlgn val="ctr"/>
        <c:lblOffset val="100"/>
        <c:noMultiLvlLbl val="0"/>
      </c:catAx>
      <c:valAx>
        <c:axId val="590877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088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Laimjala piirkonna lossimised </a:t>
            </a:r>
            <a:r>
              <a:rPr lang="et-EE" sz="1100" b="0" i="0" u="none" strike="noStrike" kern="1200" spc="0" baseline="0">
                <a:solidFill>
                  <a:srgbClr val="000000">
                    <a:lumMod val="65000"/>
                    <a:lumOff val="35000"/>
                  </a:srgbClr>
                </a:solidFill>
              </a:rPr>
              <a:t>(kg) </a:t>
            </a:r>
            <a:r>
              <a:rPr lang="et-EE"/>
              <a:t>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Leht3!$B$30</c:f>
              <c:strCache>
                <c:ptCount val="1"/>
                <c:pt idx="0">
                  <c:v>2016</c:v>
                </c:pt>
              </c:strCache>
            </c:strRef>
          </c:tx>
          <c:spPr>
            <a:solidFill>
              <a:schemeClr val="accent1"/>
            </a:solidFill>
            <a:ln>
              <a:noFill/>
            </a:ln>
            <a:effectLst/>
          </c:spPr>
          <c:invertIfNegative val="0"/>
          <c:cat>
            <c:strRef>
              <c:f>Leht3!$A$31:$A$38</c:f>
              <c:strCache>
                <c:ptCount val="8"/>
                <c:pt idx="0">
                  <c:v>Kõiguste sadam</c:v>
                </c:pt>
                <c:pt idx="1">
                  <c:v>Lautri- Saareküla</c:v>
                </c:pt>
                <c:pt idx="2">
                  <c:v>Luhina</c:v>
                </c:pt>
                <c:pt idx="3">
                  <c:v>Rannaküla Laimjala</c:v>
                </c:pt>
                <c:pt idx="4">
                  <c:v>Ruhve sadam</c:v>
                </c:pt>
                <c:pt idx="5">
                  <c:v>Saareküla sadam</c:v>
                </c:pt>
                <c:pt idx="6">
                  <c:v>Viltina</c:v>
                </c:pt>
                <c:pt idx="7">
                  <c:v>Tammelao külasadam</c:v>
                </c:pt>
              </c:strCache>
            </c:strRef>
          </c:cat>
          <c:val>
            <c:numRef>
              <c:f>Leht3!$B$31:$B$38</c:f>
              <c:numCache>
                <c:formatCode>0.00</c:formatCode>
                <c:ptCount val="8"/>
                <c:pt idx="0">
                  <c:v>2077.5</c:v>
                </c:pt>
                <c:pt idx="1">
                  <c:v>6256</c:v>
                </c:pt>
                <c:pt idx="2">
                  <c:v>1131</c:v>
                </c:pt>
                <c:pt idx="3">
                  <c:v>42</c:v>
                </c:pt>
                <c:pt idx="4">
                  <c:v>1930</c:v>
                </c:pt>
                <c:pt idx="5">
                  <c:v>2980</c:v>
                </c:pt>
                <c:pt idx="6">
                  <c:v>200</c:v>
                </c:pt>
                <c:pt idx="7">
                  <c:v>0</c:v>
                </c:pt>
              </c:numCache>
            </c:numRef>
          </c:val>
          <c:extLst>
            <c:ext xmlns:c16="http://schemas.microsoft.com/office/drawing/2014/chart" uri="{C3380CC4-5D6E-409C-BE32-E72D297353CC}">
              <c16:uniqueId val="{00000000-A4C1-4F70-BB11-82E40B3BCC52}"/>
            </c:ext>
          </c:extLst>
        </c:ser>
        <c:ser>
          <c:idx val="1"/>
          <c:order val="1"/>
          <c:tx>
            <c:strRef>
              <c:f>Leht3!$C$30</c:f>
              <c:strCache>
                <c:ptCount val="1"/>
                <c:pt idx="0">
                  <c:v>2017</c:v>
                </c:pt>
              </c:strCache>
            </c:strRef>
          </c:tx>
          <c:spPr>
            <a:solidFill>
              <a:schemeClr val="accent2"/>
            </a:solidFill>
            <a:ln>
              <a:noFill/>
            </a:ln>
            <a:effectLst/>
          </c:spPr>
          <c:invertIfNegative val="0"/>
          <c:cat>
            <c:strRef>
              <c:f>Leht3!$A$31:$A$38</c:f>
              <c:strCache>
                <c:ptCount val="8"/>
                <c:pt idx="0">
                  <c:v>Kõiguste sadam</c:v>
                </c:pt>
                <c:pt idx="1">
                  <c:v>Lautri- Saareküla</c:v>
                </c:pt>
                <c:pt idx="2">
                  <c:v>Luhina</c:v>
                </c:pt>
                <c:pt idx="3">
                  <c:v>Rannaküla Laimjala</c:v>
                </c:pt>
                <c:pt idx="4">
                  <c:v>Ruhve sadam</c:v>
                </c:pt>
                <c:pt idx="5">
                  <c:v>Saareküla sadam</c:v>
                </c:pt>
                <c:pt idx="6">
                  <c:v>Viltina</c:v>
                </c:pt>
                <c:pt idx="7">
                  <c:v>Tammelao külasadam</c:v>
                </c:pt>
              </c:strCache>
            </c:strRef>
          </c:cat>
          <c:val>
            <c:numRef>
              <c:f>Leht3!$C$31:$C$38</c:f>
              <c:numCache>
                <c:formatCode>0.00</c:formatCode>
                <c:ptCount val="8"/>
                <c:pt idx="0">
                  <c:v>3764.4</c:v>
                </c:pt>
                <c:pt idx="1">
                  <c:v>6526</c:v>
                </c:pt>
                <c:pt idx="2">
                  <c:v>1096.5</c:v>
                </c:pt>
                <c:pt idx="3">
                  <c:v>4</c:v>
                </c:pt>
                <c:pt idx="4">
                  <c:v>2288.5</c:v>
                </c:pt>
                <c:pt idx="5">
                  <c:v>2077.9</c:v>
                </c:pt>
                <c:pt idx="6">
                  <c:v>146</c:v>
                </c:pt>
                <c:pt idx="7">
                  <c:v>35</c:v>
                </c:pt>
              </c:numCache>
            </c:numRef>
          </c:val>
          <c:extLst>
            <c:ext xmlns:c16="http://schemas.microsoft.com/office/drawing/2014/chart" uri="{C3380CC4-5D6E-409C-BE32-E72D297353CC}">
              <c16:uniqueId val="{00000001-A4C1-4F70-BB11-82E40B3BCC52}"/>
            </c:ext>
          </c:extLst>
        </c:ser>
        <c:ser>
          <c:idx val="2"/>
          <c:order val="2"/>
          <c:tx>
            <c:strRef>
              <c:f>Leht3!$D$30</c:f>
              <c:strCache>
                <c:ptCount val="1"/>
                <c:pt idx="0">
                  <c:v>2018</c:v>
                </c:pt>
              </c:strCache>
            </c:strRef>
          </c:tx>
          <c:spPr>
            <a:solidFill>
              <a:schemeClr val="accent3"/>
            </a:solidFill>
            <a:ln>
              <a:noFill/>
            </a:ln>
            <a:effectLst/>
          </c:spPr>
          <c:invertIfNegative val="0"/>
          <c:cat>
            <c:strRef>
              <c:f>Leht3!$A$31:$A$38</c:f>
              <c:strCache>
                <c:ptCount val="8"/>
                <c:pt idx="0">
                  <c:v>Kõiguste sadam</c:v>
                </c:pt>
                <c:pt idx="1">
                  <c:v>Lautri- Saareküla</c:v>
                </c:pt>
                <c:pt idx="2">
                  <c:v>Luhina</c:v>
                </c:pt>
                <c:pt idx="3">
                  <c:v>Rannaküla Laimjala</c:v>
                </c:pt>
                <c:pt idx="4">
                  <c:v>Ruhve sadam</c:v>
                </c:pt>
                <c:pt idx="5">
                  <c:v>Saareküla sadam</c:v>
                </c:pt>
                <c:pt idx="6">
                  <c:v>Viltina</c:v>
                </c:pt>
                <c:pt idx="7">
                  <c:v>Tammelao külasadam</c:v>
                </c:pt>
              </c:strCache>
            </c:strRef>
          </c:cat>
          <c:val>
            <c:numRef>
              <c:f>Leht3!$D$31:$D$38</c:f>
              <c:numCache>
                <c:formatCode>0.00</c:formatCode>
                <c:ptCount val="8"/>
                <c:pt idx="0">
                  <c:v>5855.5</c:v>
                </c:pt>
                <c:pt idx="1">
                  <c:v>7921.5</c:v>
                </c:pt>
                <c:pt idx="2">
                  <c:v>1803.5</c:v>
                </c:pt>
                <c:pt idx="3">
                  <c:v>0</c:v>
                </c:pt>
                <c:pt idx="4">
                  <c:v>4847</c:v>
                </c:pt>
                <c:pt idx="5">
                  <c:v>3014</c:v>
                </c:pt>
                <c:pt idx="6">
                  <c:v>89</c:v>
                </c:pt>
                <c:pt idx="7">
                  <c:v>0</c:v>
                </c:pt>
              </c:numCache>
            </c:numRef>
          </c:val>
          <c:extLst>
            <c:ext xmlns:c16="http://schemas.microsoft.com/office/drawing/2014/chart" uri="{C3380CC4-5D6E-409C-BE32-E72D297353CC}">
              <c16:uniqueId val="{00000002-A4C1-4F70-BB11-82E40B3BCC52}"/>
            </c:ext>
          </c:extLst>
        </c:ser>
        <c:ser>
          <c:idx val="3"/>
          <c:order val="3"/>
          <c:tx>
            <c:strRef>
              <c:f>Leht3!$E$30</c:f>
              <c:strCache>
                <c:ptCount val="1"/>
                <c:pt idx="0">
                  <c:v>2019</c:v>
                </c:pt>
              </c:strCache>
            </c:strRef>
          </c:tx>
          <c:spPr>
            <a:solidFill>
              <a:schemeClr val="accent4"/>
            </a:solidFill>
            <a:ln>
              <a:noFill/>
            </a:ln>
            <a:effectLst/>
          </c:spPr>
          <c:invertIfNegative val="0"/>
          <c:cat>
            <c:strRef>
              <c:f>Leht3!$A$31:$A$38</c:f>
              <c:strCache>
                <c:ptCount val="8"/>
                <c:pt idx="0">
                  <c:v>Kõiguste sadam</c:v>
                </c:pt>
                <c:pt idx="1">
                  <c:v>Lautri- Saareküla</c:v>
                </c:pt>
                <c:pt idx="2">
                  <c:v>Luhina</c:v>
                </c:pt>
                <c:pt idx="3">
                  <c:v>Rannaküla Laimjala</c:v>
                </c:pt>
                <c:pt idx="4">
                  <c:v>Ruhve sadam</c:v>
                </c:pt>
                <c:pt idx="5">
                  <c:v>Saareküla sadam</c:v>
                </c:pt>
                <c:pt idx="6">
                  <c:v>Viltina</c:v>
                </c:pt>
                <c:pt idx="7">
                  <c:v>Tammelao külasadam</c:v>
                </c:pt>
              </c:strCache>
            </c:strRef>
          </c:cat>
          <c:val>
            <c:numRef>
              <c:f>Leht3!$E$31:$E$38</c:f>
              <c:numCache>
                <c:formatCode>0.00</c:formatCode>
                <c:ptCount val="8"/>
                <c:pt idx="0">
                  <c:v>4402</c:v>
                </c:pt>
                <c:pt idx="1">
                  <c:v>5986</c:v>
                </c:pt>
                <c:pt idx="2">
                  <c:v>4107</c:v>
                </c:pt>
                <c:pt idx="3">
                  <c:v>0</c:v>
                </c:pt>
                <c:pt idx="4">
                  <c:v>3678.5</c:v>
                </c:pt>
                <c:pt idx="5">
                  <c:v>5462</c:v>
                </c:pt>
                <c:pt idx="6">
                  <c:v>112</c:v>
                </c:pt>
                <c:pt idx="7">
                  <c:v>0</c:v>
                </c:pt>
              </c:numCache>
            </c:numRef>
          </c:val>
          <c:extLst>
            <c:ext xmlns:c16="http://schemas.microsoft.com/office/drawing/2014/chart" uri="{C3380CC4-5D6E-409C-BE32-E72D297353CC}">
              <c16:uniqueId val="{00000003-A4C1-4F70-BB11-82E40B3BCC52}"/>
            </c:ext>
          </c:extLst>
        </c:ser>
        <c:ser>
          <c:idx val="4"/>
          <c:order val="4"/>
          <c:tx>
            <c:strRef>
              <c:f>Leht3!$F$30</c:f>
              <c:strCache>
                <c:ptCount val="1"/>
                <c:pt idx="0">
                  <c:v>2020</c:v>
                </c:pt>
              </c:strCache>
            </c:strRef>
          </c:tx>
          <c:spPr>
            <a:solidFill>
              <a:schemeClr val="accent5"/>
            </a:solidFill>
            <a:ln>
              <a:noFill/>
            </a:ln>
            <a:effectLst/>
          </c:spPr>
          <c:invertIfNegative val="0"/>
          <c:cat>
            <c:strRef>
              <c:f>Leht3!$A$31:$A$38</c:f>
              <c:strCache>
                <c:ptCount val="8"/>
                <c:pt idx="0">
                  <c:v>Kõiguste sadam</c:v>
                </c:pt>
                <c:pt idx="1">
                  <c:v>Lautri- Saareküla</c:v>
                </c:pt>
                <c:pt idx="2">
                  <c:v>Luhina</c:v>
                </c:pt>
                <c:pt idx="3">
                  <c:v>Rannaküla Laimjala</c:v>
                </c:pt>
                <c:pt idx="4">
                  <c:v>Ruhve sadam</c:v>
                </c:pt>
                <c:pt idx="5">
                  <c:v>Saareküla sadam</c:v>
                </c:pt>
                <c:pt idx="6">
                  <c:v>Viltina</c:v>
                </c:pt>
                <c:pt idx="7">
                  <c:v>Tammelao külasadam</c:v>
                </c:pt>
              </c:strCache>
            </c:strRef>
          </c:cat>
          <c:val>
            <c:numRef>
              <c:f>Leht3!$F$31:$F$38</c:f>
              <c:numCache>
                <c:formatCode>0.00</c:formatCode>
                <c:ptCount val="8"/>
                <c:pt idx="0">
                  <c:v>3125</c:v>
                </c:pt>
                <c:pt idx="1">
                  <c:v>6069</c:v>
                </c:pt>
                <c:pt idx="2">
                  <c:v>1655</c:v>
                </c:pt>
                <c:pt idx="3">
                  <c:v>0</c:v>
                </c:pt>
                <c:pt idx="4">
                  <c:v>3862</c:v>
                </c:pt>
                <c:pt idx="5">
                  <c:v>3581</c:v>
                </c:pt>
                <c:pt idx="6">
                  <c:v>129</c:v>
                </c:pt>
                <c:pt idx="7">
                  <c:v>9</c:v>
                </c:pt>
              </c:numCache>
            </c:numRef>
          </c:val>
          <c:extLst>
            <c:ext xmlns:c16="http://schemas.microsoft.com/office/drawing/2014/chart" uri="{C3380CC4-5D6E-409C-BE32-E72D297353CC}">
              <c16:uniqueId val="{00000004-A4C1-4F70-BB11-82E40B3BCC52}"/>
            </c:ext>
          </c:extLst>
        </c:ser>
        <c:ser>
          <c:idx val="5"/>
          <c:order val="5"/>
          <c:tx>
            <c:strRef>
              <c:f>Leht3!$G$30</c:f>
              <c:strCache>
                <c:ptCount val="1"/>
                <c:pt idx="0">
                  <c:v>2021</c:v>
                </c:pt>
              </c:strCache>
            </c:strRef>
          </c:tx>
          <c:spPr>
            <a:solidFill>
              <a:schemeClr val="accent6"/>
            </a:solidFill>
            <a:ln>
              <a:noFill/>
            </a:ln>
            <a:effectLst/>
          </c:spPr>
          <c:invertIfNegative val="0"/>
          <c:cat>
            <c:strRef>
              <c:f>Leht3!$A$31:$A$38</c:f>
              <c:strCache>
                <c:ptCount val="8"/>
                <c:pt idx="0">
                  <c:v>Kõiguste sadam</c:v>
                </c:pt>
                <c:pt idx="1">
                  <c:v>Lautri- Saareküla</c:v>
                </c:pt>
                <c:pt idx="2">
                  <c:v>Luhina</c:v>
                </c:pt>
                <c:pt idx="3">
                  <c:v>Rannaküla Laimjala</c:v>
                </c:pt>
                <c:pt idx="4">
                  <c:v>Ruhve sadam</c:v>
                </c:pt>
                <c:pt idx="5">
                  <c:v>Saareküla sadam</c:v>
                </c:pt>
                <c:pt idx="6">
                  <c:v>Viltina</c:v>
                </c:pt>
                <c:pt idx="7">
                  <c:v>Tammelao külasadam</c:v>
                </c:pt>
              </c:strCache>
            </c:strRef>
          </c:cat>
          <c:val>
            <c:numRef>
              <c:f>Leht3!$G$31:$G$38</c:f>
              <c:numCache>
                <c:formatCode>0.00</c:formatCode>
                <c:ptCount val="8"/>
                <c:pt idx="0">
                  <c:v>2281</c:v>
                </c:pt>
                <c:pt idx="1">
                  <c:v>6144</c:v>
                </c:pt>
                <c:pt idx="2">
                  <c:v>1933</c:v>
                </c:pt>
                <c:pt idx="3">
                  <c:v>0</c:v>
                </c:pt>
                <c:pt idx="4">
                  <c:v>2687.5</c:v>
                </c:pt>
                <c:pt idx="5">
                  <c:v>3473.9</c:v>
                </c:pt>
                <c:pt idx="6">
                  <c:v>180</c:v>
                </c:pt>
                <c:pt idx="7">
                  <c:v>0</c:v>
                </c:pt>
              </c:numCache>
            </c:numRef>
          </c:val>
          <c:extLst>
            <c:ext xmlns:c16="http://schemas.microsoft.com/office/drawing/2014/chart" uri="{C3380CC4-5D6E-409C-BE32-E72D297353CC}">
              <c16:uniqueId val="{00000005-A4C1-4F70-BB11-82E40B3BCC52}"/>
            </c:ext>
          </c:extLst>
        </c:ser>
        <c:ser>
          <c:idx val="6"/>
          <c:order val="6"/>
          <c:tx>
            <c:strRef>
              <c:f>Leht3!$H$30</c:f>
              <c:strCache>
                <c:ptCount val="1"/>
                <c:pt idx="0">
                  <c:v>2022</c:v>
                </c:pt>
              </c:strCache>
            </c:strRef>
          </c:tx>
          <c:spPr>
            <a:solidFill>
              <a:schemeClr val="accent1">
                <a:lumMod val="60000"/>
              </a:schemeClr>
            </a:solidFill>
            <a:ln>
              <a:noFill/>
            </a:ln>
            <a:effectLst/>
          </c:spPr>
          <c:invertIfNegative val="0"/>
          <c:cat>
            <c:strRef>
              <c:f>Leht3!$A$31:$A$38</c:f>
              <c:strCache>
                <c:ptCount val="8"/>
                <c:pt idx="0">
                  <c:v>Kõiguste sadam</c:v>
                </c:pt>
                <c:pt idx="1">
                  <c:v>Lautri- Saareküla</c:v>
                </c:pt>
                <c:pt idx="2">
                  <c:v>Luhina</c:v>
                </c:pt>
                <c:pt idx="3">
                  <c:v>Rannaküla Laimjala</c:v>
                </c:pt>
                <c:pt idx="4">
                  <c:v>Ruhve sadam</c:v>
                </c:pt>
                <c:pt idx="5">
                  <c:v>Saareküla sadam</c:v>
                </c:pt>
                <c:pt idx="6">
                  <c:v>Viltina</c:v>
                </c:pt>
                <c:pt idx="7">
                  <c:v>Tammelao külasadam</c:v>
                </c:pt>
              </c:strCache>
            </c:strRef>
          </c:cat>
          <c:val>
            <c:numRef>
              <c:f>Leht3!$H$31:$H$38</c:f>
              <c:numCache>
                <c:formatCode>0.00</c:formatCode>
                <c:ptCount val="8"/>
                <c:pt idx="0">
                  <c:v>2607.5</c:v>
                </c:pt>
                <c:pt idx="1">
                  <c:v>3983</c:v>
                </c:pt>
                <c:pt idx="2">
                  <c:v>2734.5</c:v>
                </c:pt>
                <c:pt idx="3">
                  <c:v>0</c:v>
                </c:pt>
                <c:pt idx="4">
                  <c:v>2552.6999999999998</c:v>
                </c:pt>
                <c:pt idx="5">
                  <c:v>5049</c:v>
                </c:pt>
                <c:pt idx="6">
                  <c:v>126</c:v>
                </c:pt>
                <c:pt idx="7">
                  <c:v>0</c:v>
                </c:pt>
              </c:numCache>
            </c:numRef>
          </c:val>
          <c:extLst>
            <c:ext xmlns:c16="http://schemas.microsoft.com/office/drawing/2014/chart" uri="{C3380CC4-5D6E-409C-BE32-E72D297353CC}">
              <c16:uniqueId val="{00000006-A4C1-4F70-BB11-82E40B3BCC52}"/>
            </c:ext>
          </c:extLst>
        </c:ser>
        <c:dLbls>
          <c:showLegendKey val="0"/>
          <c:showVal val="0"/>
          <c:showCatName val="0"/>
          <c:showSerName val="0"/>
          <c:showPercent val="0"/>
          <c:showBubbleSize val="0"/>
        </c:dLbls>
        <c:gapWidth val="182"/>
        <c:axId val="534683160"/>
        <c:axId val="534688200"/>
      </c:barChart>
      <c:catAx>
        <c:axId val="534683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4688200"/>
        <c:crosses val="autoZero"/>
        <c:auto val="1"/>
        <c:lblAlgn val="ctr"/>
        <c:lblOffset val="100"/>
        <c:noMultiLvlLbl val="0"/>
      </c:catAx>
      <c:valAx>
        <c:axId val="5346882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34683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Leisi piirkonna lossimised </a:t>
            </a:r>
            <a:r>
              <a:rPr lang="et-EE" sz="1100" b="0" i="0" u="none" strike="noStrike" kern="1200" spc="0" baseline="0">
                <a:solidFill>
                  <a:srgbClr val="000000">
                    <a:lumMod val="65000"/>
                    <a:lumOff val="35000"/>
                  </a:srgbClr>
                </a:solidFill>
              </a:rPr>
              <a:t>(kg) </a:t>
            </a:r>
            <a:r>
              <a:rPr lang="et-EE"/>
              <a:t> 2016-2022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Leht3!$A$42</c:f>
              <c:strCache>
                <c:ptCount val="1"/>
                <c:pt idx="0">
                  <c:v>Asuka</c:v>
                </c:pt>
              </c:strCache>
            </c:strRef>
          </c:tx>
          <c:spPr>
            <a:solidFill>
              <a:schemeClr val="accent1"/>
            </a:solidFill>
            <a:ln>
              <a:noFill/>
            </a:ln>
            <a:effectLst/>
          </c:spPr>
          <c:invertIfNegative val="0"/>
          <c:cat>
            <c:numRef>
              <c:f>Leht3!$B$41:$H$41</c:f>
              <c:numCache>
                <c:formatCode>0</c:formatCode>
                <c:ptCount val="7"/>
                <c:pt idx="0">
                  <c:v>2016</c:v>
                </c:pt>
                <c:pt idx="1">
                  <c:v>2017</c:v>
                </c:pt>
                <c:pt idx="2">
                  <c:v>2018</c:v>
                </c:pt>
                <c:pt idx="3">
                  <c:v>2019</c:v>
                </c:pt>
                <c:pt idx="4">
                  <c:v>2020</c:v>
                </c:pt>
                <c:pt idx="5">
                  <c:v>2021</c:v>
                </c:pt>
                <c:pt idx="6">
                  <c:v>2022</c:v>
                </c:pt>
              </c:numCache>
            </c:numRef>
          </c:cat>
          <c:val>
            <c:numRef>
              <c:f>Leht3!$B$42:$H$42</c:f>
              <c:numCache>
                <c:formatCode>0.00</c:formatCode>
                <c:ptCount val="7"/>
                <c:pt idx="0">
                  <c:v>31</c:v>
                </c:pt>
                <c:pt idx="1">
                  <c:v>72</c:v>
                </c:pt>
                <c:pt idx="2">
                  <c:v>235</c:v>
                </c:pt>
                <c:pt idx="3">
                  <c:v>470.5</c:v>
                </c:pt>
                <c:pt idx="4">
                  <c:v>867</c:v>
                </c:pt>
                <c:pt idx="5">
                  <c:v>351.8</c:v>
                </c:pt>
                <c:pt idx="6">
                  <c:v>77.7</c:v>
                </c:pt>
              </c:numCache>
            </c:numRef>
          </c:val>
          <c:extLst>
            <c:ext xmlns:c16="http://schemas.microsoft.com/office/drawing/2014/chart" uri="{C3380CC4-5D6E-409C-BE32-E72D297353CC}">
              <c16:uniqueId val="{00000000-2431-4245-983D-B154BF8C06B8}"/>
            </c:ext>
          </c:extLst>
        </c:ser>
        <c:ser>
          <c:idx val="1"/>
          <c:order val="1"/>
          <c:tx>
            <c:strRef>
              <c:f>Leht3!$A$43</c:f>
              <c:strCache>
                <c:ptCount val="1"/>
                <c:pt idx="0">
                  <c:v>Mujaste</c:v>
                </c:pt>
              </c:strCache>
            </c:strRef>
          </c:tx>
          <c:spPr>
            <a:solidFill>
              <a:schemeClr val="accent2"/>
            </a:solidFill>
            <a:ln>
              <a:noFill/>
            </a:ln>
            <a:effectLst/>
          </c:spPr>
          <c:invertIfNegative val="0"/>
          <c:cat>
            <c:numRef>
              <c:f>Leht3!$B$41:$H$41</c:f>
              <c:numCache>
                <c:formatCode>0</c:formatCode>
                <c:ptCount val="7"/>
                <c:pt idx="0">
                  <c:v>2016</c:v>
                </c:pt>
                <c:pt idx="1">
                  <c:v>2017</c:v>
                </c:pt>
                <c:pt idx="2">
                  <c:v>2018</c:v>
                </c:pt>
                <c:pt idx="3">
                  <c:v>2019</c:v>
                </c:pt>
                <c:pt idx="4">
                  <c:v>2020</c:v>
                </c:pt>
                <c:pt idx="5">
                  <c:v>2021</c:v>
                </c:pt>
                <c:pt idx="6">
                  <c:v>2022</c:v>
                </c:pt>
              </c:numCache>
            </c:numRef>
          </c:cat>
          <c:val>
            <c:numRef>
              <c:f>Leht3!$B$43:$H$43</c:f>
              <c:numCache>
                <c:formatCode>0.00</c:formatCode>
                <c:ptCount val="7"/>
                <c:pt idx="0">
                  <c:v>1180</c:v>
                </c:pt>
                <c:pt idx="1">
                  <c:v>478</c:v>
                </c:pt>
                <c:pt idx="2">
                  <c:v>1808</c:v>
                </c:pt>
                <c:pt idx="3">
                  <c:v>451</c:v>
                </c:pt>
                <c:pt idx="4">
                  <c:v>502</c:v>
                </c:pt>
                <c:pt idx="5">
                  <c:v>159</c:v>
                </c:pt>
                <c:pt idx="6">
                  <c:v>40</c:v>
                </c:pt>
              </c:numCache>
            </c:numRef>
          </c:val>
          <c:extLst>
            <c:ext xmlns:c16="http://schemas.microsoft.com/office/drawing/2014/chart" uri="{C3380CC4-5D6E-409C-BE32-E72D297353CC}">
              <c16:uniqueId val="{00000001-2431-4245-983D-B154BF8C06B8}"/>
            </c:ext>
          </c:extLst>
        </c:ser>
        <c:ser>
          <c:idx val="2"/>
          <c:order val="2"/>
          <c:tx>
            <c:strRef>
              <c:f>Leht3!$A$44</c:f>
              <c:strCache>
                <c:ptCount val="1"/>
                <c:pt idx="0">
                  <c:v>Murika rand</c:v>
                </c:pt>
              </c:strCache>
            </c:strRef>
          </c:tx>
          <c:spPr>
            <a:solidFill>
              <a:schemeClr val="accent3"/>
            </a:solidFill>
            <a:ln>
              <a:noFill/>
            </a:ln>
            <a:effectLst/>
          </c:spPr>
          <c:invertIfNegative val="0"/>
          <c:cat>
            <c:numRef>
              <c:f>Leht3!$B$41:$H$41</c:f>
              <c:numCache>
                <c:formatCode>0</c:formatCode>
                <c:ptCount val="7"/>
                <c:pt idx="0">
                  <c:v>2016</c:v>
                </c:pt>
                <c:pt idx="1">
                  <c:v>2017</c:v>
                </c:pt>
                <c:pt idx="2">
                  <c:v>2018</c:v>
                </c:pt>
                <c:pt idx="3">
                  <c:v>2019</c:v>
                </c:pt>
                <c:pt idx="4">
                  <c:v>2020</c:v>
                </c:pt>
                <c:pt idx="5">
                  <c:v>2021</c:v>
                </c:pt>
                <c:pt idx="6">
                  <c:v>2022</c:v>
                </c:pt>
              </c:numCache>
            </c:numRef>
          </c:cat>
          <c:val>
            <c:numRef>
              <c:f>Leht3!$B$44:$H$44</c:f>
              <c:numCache>
                <c:formatCode>0.00</c:formatCode>
                <c:ptCount val="7"/>
                <c:pt idx="0">
                  <c:v>1698</c:v>
                </c:pt>
                <c:pt idx="1">
                  <c:v>1703</c:v>
                </c:pt>
                <c:pt idx="2">
                  <c:v>847.5</c:v>
                </c:pt>
                <c:pt idx="3">
                  <c:v>1396.5</c:v>
                </c:pt>
                <c:pt idx="4">
                  <c:v>1733</c:v>
                </c:pt>
                <c:pt idx="5">
                  <c:v>731.5</c:v>
                </c:pt>
                <c:pt idx="6">
                  <c:v>994.5</c:v>
                </c:pt>
              </c:numCache>
            </c:numRef>
          </c:val>
          <c:extLst>
            <c:ext xmlns:c16="http://schemas.microsoft.com/office/drawing/2014/chart" uri="{C3380CC4-5D6E-409C-BE32-E72D297353CC}">
              <c16:uniqueId val="{00000002-2431-4245-983D-B154BF8C06B8}"/>
            </c:ext>
          </c:extLst>
        </c:ser>
        <c:ser>
          <c:idx val="3"/>
          <c:order val="3"/>
          <c:tx>
            <c:strRef>
              <c:f>Leht3!$A$45</c:f>
              <c:strCache>
                <c:ptCount val="1"/>
                <c:pt idx="0">
                  <c:v>Poka</c:v>
                </c:pt>
              </c:strCache>
            </c:strRef>
          </c:tx>
          <c:spPr>
            <a:solidFill>
              <a:schemeClr val="accent4"/>
            </a:solidFill>
            <a:ln>
              <a:noFill/>
            </a:ln>
            <a:effectLst/>
          </c:spPr>
          <c:invertIfNegative val="0"/>
          <c:cat>
            <c:numRef>
              <c:f>Leht3!$B$41:$H$41</c:f>
              <c:numCache>
                <c:formatCode>0</c:formatCode>
                <c:ptCount val="7"/>
                <c:pt idx="0">
                  <c:v>2016</c:v>
                </c:pt>
                <c:pt idx="1">
                  <c:v>2017</c:v>
                </c:pt>
                <c:pt idx="2">
                  <c:v>2018</c:v>
                </c:pt>
                <c:pt idx="3">
                  <c:v>2019</c:v>
                </c:pt>
                <c:pt idx="4">
                  <c:v>2020</c:v>
                </c:pt>
                <c:pt idx="5">
                  <c:v>2021</c:v>
                </c:pt>
                <c:pt idx="6">
                  <c:v>2022</c:v>
                </c:pt>
              </c:numCache>
            </c:numRef>
          </c:cat>
          <c:val>
            <c:numRef>
              <c:f>Leht3!$B$45:$H$45</c:f>
              <c:numCache>
                <c:formatCode>0.00</c:formatCode>
                <c:ptCount val="7"/>
                <c:pt idx="0">
                  <c:v>252.5</c:v>
                </c:pt>
                <c:pt idx="1">
                  <c:v>309.89999999999998</c:v>
                </c:pt>
                <c:pt idx="2">
                  <c:v>12.6</c:v>
                </c:pt>
                <c:pt idx="3">
                  <c:v>206</c:v>
                </c:pt>
                <c:pt idx="4">
                  <c:v>13</c:v>
                </c:pt>
                <c:pt idx="5">
                  <c:v>0</c:v>
                </c:pt>
                <c:pt idx="6">
                  <c:v>10</c:v>
                </c:pt>
              </c:numCache>
            </c:numRef>
          </c:val>
          <c:extLst>
            <c:ext xmlns:c16="http://schemas.microsoft.com/office/drawing/2014/chart" uri="{C3380CC4-5D6E-409C-BE32-E72D297353CC}">
              <c16:uniqueId val="{00000003-2431-4245-983D-B154BF8C06B8}"/>
            </c:ext>
          </c:extLst>
        </c:ser>
        <c:ser>
          <c:idx val="4"/>
          <c:order val="4"/>
          <c:tx>
            <c:strRef>
              <c:f>Leht3!$A$46</c:f>
              <c:strCache>
                <c:ptCount val="1"/>
                <c:pt idx="0">
                  <c:v>Soela sadam</c:v>
                </c:pt>
              </c:strCache>
            </c:strRef>
          </c:tx>
          <c:spPr>
            <a:solidFill>
              <a:schemeClr val="accent5"/>
            </a:solidFill>
            <a:ln>
              <a:noFill/>
            </a:ln>
            <a:effectLst/>
          </c:spPr>
          <c:invertIfNegative val="0"/>
          <c:cat>
            <c:numRef>
              <c:f>Leht3!$B$41:$H$41</c:f>
              <c:numCache>
                <c:formatCode>0</c:formatCode>
                <c:ptCount val="7"/>
                <c:pt idx="0">
                  <c:v>2016</c:v>
                </c:pt>
                <c:pt idx="1">
                  <c:v>2017</c:v>
                </c:pt>
                <c:pt idx="2">
                  <c:v>2018</c:v>
                </c:pt>
                <c:pt idx="3">
                  <c:v>2019</c:v>
                </c:pt>
                <c:pt idx="4">
                  <c:v>2020</c:v>
                </c:pt>
                <c:pt idx="5">
                  <c:v>2021</c:v>
                </c:pt>
                <c:pt idx="6">
                  <c:v>2022</c:v>
                </c:pt>
              </c:numCache>
            </c:numRef>
          </c:cat>
          <c:val>
            <c:numRef>
              <c:f>Leht3!$B$46:$H$46</c:f>
              <c:numCache>
                <c:formatCode>0.00</c:formatCode>
                <c:ptCount val="7"/>
                <c:pt idx="0">
                  <c:v>728.1</c:v>
                </c:pt>
                <c:pt idx="1">
                  <c:v>1161.2</c:v>
                </c:pt>
                <c:pt idx="2">
                  <c:v>1205.5999999999999</c:v>
                </c:pt>
                <c:pt idx="3">
                  <c:v>2793.5</c:v>
                </c:pt>
                <c:pt idx="4">
                  <c:v>806</c:v>
                </c:pt>
                <c:pt idx="5">
                  <c:v>630</c:v>
                </c:pt>
                <c:pt idx="6">
                  <c:v>776.2</c:v>
                </c:pt>
              </c:numCache>
            </c:numRef>
          </c:val>
          <c:extLst>
            <c:ext xmlns:c16="http://schemas.microsoft.com/office/drawing/2014/chart" uri="{C3380CC4-5D6E-409C-BE32-E72D297353CC}">
              <c16:uniqueId val="{00000004-2431-4245-983D-B154BF8C06B8}"/>
            </c:ext>
          </c:extLst>
        </c:ser>
        <c:ser>
          <c:idx val="5"/>
          <c:order val="5"/>
          <c:tx>
            <c:strRef>
              <c:f>Leht3!$A$47</c:f>
              <c:strCache>
                <c:ptCount val="1"/>
                <c:pt idx="0">
                  <c:v>Triigi sadam</c:v>
                </c:pt>
              </c:strCache>
            </c:strRef>
          </c:tx>
          <c:spPr>
            <a:solidFill>
              <a:schemeClr val="accent6"/>
            </a:solidFill>
            <a:ln>
              <a:noFill/>
            </a:ln>
            <a:effectLst/>
          </c:spPr>
          <c:invertIfNegative val="0"/>
          <c:cat>
            <c:numRef>
              <c:f>Leht3!$B$41:$H$41</c:f>
              <c:numCache>
                <c:formatCode>0</c:formatCode>
                <c:ptCount val="7"/>
                <c:pt idx="0">
                  <c:v>2016</c:v>
                </c:pt>
                <c:pt idx="1">
                  <c:v>2017</c:v>
                </c:pt>
                <c:pt idx="2">
                  <c:v>2018</c:v>
                </c:pt>
                <c:pt idx="3">
                  <c:v>2019</c:v>
                </c:pt>
                <c:pt idx="4">
                  <c:v>2020</c:v>
                </c:pt>
                <c:pt idx="5">
                  <c:v>2021</c:v>
                </c:pt>
                <c:pt idx="6">
                  <c:v>2022</c:v>
                </c:pt>
              </c:numCache>
            </c:numRef>
          </c:cat>
          <c:val>
            <c:numRef>
              <c:f>Leht3!$B$47:$H$47</c:f>
              <c:numCache>
                <c:formatCode>0.00</c:formatCode>
                <c:ptCount val="7"/>
                <c:pt idx="0">
                  <c:v>4671.6000000000004</c:v>
                </c:pt>
                <c:pt idx="1">
                  <c:v>1044.5</c:v>
                </c:pt>
                <c:pt idx="2">
                  <c:v>890.2</c:v>
                </c:pt>
                <c:pt idx="3">
                  <c:v>1032.2</c:v>
                </c:pt>
                <c:pt idx="4">
                  <c:v>2583</c:v>
                </c:pt>
                <c:pt idx="5">
                  <c:v>2254.9</c:v>
                </c:pt>
                <c:pt idx="6">
                  <c:v>1842.1</c:v>
                </c:pt>
              </c:numCache>
            </c:numRef>
          </c:val>
          <c:extLst>
            <c:ext xmlns:c16="http://schemas.microsoft.com/office/drawing/2014/chart" uri="{C3380CC4-5D6E-409C-BE32-E72D297353CC}">
              <c16:uniqueId val="{00000005-2431-4245-983D-B154BF8C06B8}"/>
            </c:ext>
          </c:extLst>
        </c:ser>
        <c:dLbls>
          <c:showLegendKey val="0"/>
          <c:showVal val="0"/>
          <c:showCatName val="0"/>
          <c:showSerName val="0"/>
          <c:showPercent val="0"/>
          <c:showBubbleSize val="0"/>
        </c:dLbls>
        <c:gapWidth val="219"/>
        <c:overlap val="-27"/>
        <c:axId val="529007528"/>
        <c:axId val="529014728"/>
      </c:barChart>
      <c:catAx>
        <c:axId val="5290075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014728"/>
        <c:crosses val="autoZero"/>
        <c:auto val="1"/>
        <c:lblAlgn val="ctr"/>
        <c:lblOffset val="100"/>
        <c:noMultiLvlLbl val="0"/>
      </c:catAx>
      <c:valAx>
        <c:axId val="529014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007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Mustjala piirkonna lossimised </a:t>
            </a:r>
            <a:r>
              <a:rPr lang="et-EE" sz="1100" b="0" i="0" u="none" strike="noStrike" kern="1200" spc="0" baseline="0">
                <a:solidFill>
                  <a:srgbClr val="000000">
                    <a:lumMod val="65000"/>
                    <a:lumOff val="35000"/>
                  </a:srgbClr>
                </a:solidFill>
              </a:rPr>
              <a:t>(kg) </a:t>
            </a:r>
            <a:r>
              <a:rPr lang="et-EE"/>
              <a:t>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6408370997019045"/>
          <c:y val="9.8908258385945746E-2"/>
          <c:w val="0.72494844394450697"/>
          <c:h val="0.76841100683951014"/>
        </c:manualLayout>
      </c:layout>
      <c:barChart>
        <c:barDir val="bar"/>
        <c:grouping val="clustered"/>
        <c:varyColors val="0"/>
        <c:ser>
          <c:idx val="0"/>
          <c:order val="0"/>
          <c:tx>
            <c:strRef>
              <c:f>Leht3!$B$69</c:f>
              <c:strCache>
                <c:ptCount val="1"/>
                <c:pt idx="0">
                  <c:v>2016</c:v>
                </c:pt>
              </c:strCache>
            </c:strRef>
          </c:tx>
          <c:spPr>
            <a:solidFill>
              <a:schemeClr val="accent1"/>
            </a:solidFill>
            <a:ln>
              <a:noFill/>
            </a:ln>
            <a:effectLst/>
          </c:spPr>
          <c:invertIfNegative val="0"/>
          <c:cat>
            <c:strRef>
              <c:f>Leht3!$A$70:$A$84</c:f>
              <c:strCache>
                <c:ptCount val="15"/>
                <c:pt idx="0">
                  <c:v>Kallasmaa </c:v>
                </c:pt>
                <c:pt idx="1">
                  <c:v>Küdema</c:v>
                </c:pt>
                <c:pt idx="2">
                  <c:v>Luhtse</c:v>
                </c:pt>
                <c:pt idx="3">
                  <c:v>Läkuranna</c:v>
                </c:pt>
                <c:pt idx="4">
                  <c:v>Merise</c:v>
                </c:pt>
                <c:pt idx="5">
                  <c:v>Männiku lautri</c:v>
                </c:pt>
                <c:pt idx="6">
                  <c:v>Paatsaranna</c:v>
                </c:pt>
                <c:pt idx="7">
                  <c:v>Pihla- Panga</c:v>
                </c:pt>
                <c:pt idx="8">
                  <c:v>Rannaaugu sadam</c:v>
                </c:pt>
                <c:pt idx="9">
                  <c:v>Saaremaa sadam</c:v>
                </c:pt>
                <c:pt idx="10">
                  <c:v>Seebilõuka</c:v>
                </c:pt>
                <c:pt idx="11">
                  <c:v>Suurekivi</c:v>
                </c:pt>
                <c:pt idx="12">
                  <c:v>Tamme Ninase</c:v>
                </c:pt>
                <c:pt idx="13">
                  <c:v>Varese sadam</c:v>
                </c:pt>
                <c:pt idx="14">
                  <c:v>Veerenina</c:v>
                </c:pt>
              </c:strCache>
            </c:strRef>
          </c:cat>
          <c:val>
            <c:numRef>
              <c:f>Leht3!$B$70:$B$84</c:f>
              <c:numCache>
                <c:formatCode>0.00</c:formatCode>
                <c:ptCount val="15"/>
                <c:pt idx="0">
                  <c:v>1011</c:v>
                </c:pt>
                <c:pt idx="1">
                  <c:v>869.8</c:v>
                </c:pt>
                <c:pt idx="2">
                  <c:v>327</c:v>
                </c:pt>
                <c:pt idx="3">
                  <c:v>1485.8</c:v>
                </c:pt>
                <c:pt idx="4">
                  <c:v>1551.5</c:v>
                </c:pt>
                <c:pt idx="5">
                  <c:v>240</c:v>
                </c:pt>
                <c:pt idx="6">
                  <c:v>976.4</c:v>
                </c:pt>
                <c:pt idx="7">
                  <c:v>282.7</c:v>
                </c:pt>
                <c:pt idx="8">
                  <c:v>3164.4</c:v>
                </c:pt>
                <c:pt idx="9">
                  <c:v>628</c:v>
                </c:pt>
                <c:pt idx="10">
                  <c:v>3140.4</c:v>
                </c:pt>
                <c:pt idx="11">
                  <c:v>1346.6</c:v>
                </c:pt>
                <c:pt idx="12">
                  <c:v>179.8</c:v>
                </c:pt>
                <c:pt idx="13">
                  <c:v>6958</c:v>
                </c:pt>
                <c:pt idx="14">
                  <c:v>1857.5</c:v>
                </c:pt>
              </c:numCache>
            </c:numRef>
          </c:val>
          <c:extLst>
            <c:ext xmlns:c16="http://schemas.microsoft.com/office/drawing/2014/chart" uri="{C3380CC4-5D6E-409C-BE32-E72D297353CC}">
              <c16:uniqueId val="{00000000-E2CA-49F3-BFF3-441F2472019B}"/>
            </c:ext>
          </c:extLst>
        </c:ser>
        <c:ser>
          <c:idx val="1"/>
          <c:order val="1"/>
          <c:tx>
            <c:strRef>
              <c:f>Leht3!$C$69</c:f>
              <c:strCache>
                <c:ptCount val="1"/>
                <c:pt idx="0">
                  <c:v>2017</c:v>
                </c:pt>
              </c:strCache>
            </c:strRef>
          </c:tx>
          <c:spPr>
            <a:solidFill>
              <a:schemeClr val="accent2"/>
            </a:solidFill>
            <a:ln>
              <a:noFill/>
            </a:ln>
            <a:effectLst/>
          </c:spPr>
          <c:invertIfNegative val="0"/>
          <c:cat>
            <c:strRef>
              <c:f>Leht3!$A$70:$A$84</c:f>
              <c:strCache>
                <c:ptCount val="15"/>
                <c:pt idx="0">
                  <c:v>Kallasmaa </c:v>
                </c:pt>
                <c:pt idx="1">
                  <c:v>Küdema</c:v>
                </c:pt>
                <c:pt idx="2">
                  <c:v>Luhtse</c:v>
                </c:pt>
                <c:pt idx="3">
                  <c:v>Läkuranna</c:v>
                </c:pt>
                <c:pt idx="4">
                  <c:v>Merise</c:v>
                </c:pt>
                <c:pt idx="5">
                  <c:v>Männiku lautri</c:v>
                </c:pt>
                <c:pt idx="6">
                  <c:v>Paatsaranna</c:v>
                </c:pt>
                <c:pt idx="7">
                  <c:v>Pihla- Panga</c:v>
                </c:pt>
                <c:pt idx="8">
                  <c:v>Rannaaugu sadam</c:v>
                </c:pt>
                <c:pt idx="9">
                  <c:v>Saaremaa sadam</c:v>
                </c:pt>
                <c:pt idx="10">
                  <c:v>Seebilõuka</c:v>
                </c:pt>
                <c:pt idx="11">
                  <c:v>Suurekivi</c:v>
                </c:pt>
                <c:pt idx="12">
                  <c:v>Tamme Ninase</c:v>
                </c:pt>
                <c:pt idx="13">
                  <c:v>Varese sadam</c:v>
                </c:pt>
                <c:pt idx="14">
                  <c:v>Veerenina</c:v>
                </c:pt>
              </c:strCache>
            </c:strRef>
          </c:cat>
          <c:val>
            <c:numRef>
              <c:f>Leht3!$C$70:$C$84</c:f>
              <c:numCache>
                <c:formatCode>0.00</c:formatCode>
                <c:ptCount val="15"/>
                <c:pt idx="0">
                  <c:v>1769</c:v>
                </c:pt>
                <c:pt idx="1">
                  <c:v>1030</c:v>
                </c:pt>
                <c:pt idx="2">
                  <c:v>271</c:v>
                </c:pt>
                <c:pt idx="3">
                  <c:v>998.5</c:v>
                </c:pt>
                <c:pt idx="4">
                  <c:v>3501.5</c:v>
                </c:pt>
                <c:pt idx="5">
                  <c:v>467</c:v>
                </c:pt>
                <c:pt idx="6">
                  <c:v>0</c:v>
                </c:pt>
                <c:pt idx="7">
                  <c:v>306.3</c:v>
                </c:pt>
                <c:pt idx="8">
                  <c:v>5315.7</c:v>
                </c:pt>
                <c:pt idx="9">
                  <c:v>355.1</c:v>
                </c:pt>
                <c:pt idx="10">
                  <c:v>1870.9</c:v>
                </c:pt>
                <c:pt idx="11">
                  <c:v>8016.6</c:v>
                </c:pt>
                <c:pt idx="12">
                  <c:v>264</c:v>
                </c:pt>
                <c:pt idx="13">
                  <c:v>1888</c:v>
                </c:pt>
                <c:pt idx="14">
                  <c:v>793.9</c:v>
                </c:pt>
              </c:numCache>
            </c:numRef>
          </c:val>
          <c:extLst>
            <c:ext xmlns:c16="http://schemas.microsoft.com/office/drawing/2014/chart" uri="{C3380CC4-5D6E-409C-BE32-E72D297353CC}">
              <c16:uniqueId val="{00000001-E2CA-49F3-BFF3-441F2472019B}"/>
            </c:ext>
          </c:extLst>
        </c:ser>
        <c:ser>
          <c:idx val="2"/>
          <c:order val="2"/>
          <c:tx>
            <c:strRef>
              <c:f>Leht3!$D$69</c:f>
              <c:strCache>
                <c:ptCount val="1"/>
                <c:pt idx="0">
                  <c:v>2018</c:v>
                </c:pt>
              </c:strCache>
            </c:strRef>
          </c:tx>
          <c:spPr>
            <a:solidFill>
              <a:schemeClr val="accent3"/>
            </a:solidFill>
            <a:ln>
              <a:noFill/>
            </a:ln>
            <a:effectLst/>
          </c:spPr>
          <c:invertIfNegative val="0"/>
          <c:cat>
            <c:strRef>
              <c:f>Leht3!$A$70:$A$84</c:f>
              <c:strCache>
                <c:ptCount val="15"/>
                <c:pt idx="0">
                  <c:v>Kallasmaa </c:v>
                </c:pt>
                <c:pt idx="1">
                  <c:v>Küdema</c:v>
                </c:pt>
                <c:pt idx="2">
                  <c:v>Luhtse</c:v>
                </c:pt>
                <c:pt idx="3">
                  <c:v>Läkuranna</c:v>
                </c:pt>
                <c:pt idx="4">
                  <c:v>Merise</c:v>
                </c:pt>
                <c:pt idx="5">
                  <c:v>Männiku lautri</c:v>
                </c:pt>
                <c:pt idx="6">
                  <c:v>Paatsaranna</c:v>
                </c:pt>
                <c:pt idx="7">
                  <c:v>Pihla- Panga</c:v>
                </c:pt>
                <c:pt idx="8">
                  <c:v>Rannaaugu sadam</c:v>
                </c:pt>
                <c:pt idx="9">
                  <c:v>Saaremaa sadam</c:v>
                </c:pt>
                <c:pt idx="10">
                  <c:v>Seebilõuka</c:v>
                </c:pt>
                <c:pt idx="11">
                  <c:v>Suurekivi</c:v>
                </c:pt>
                <c:pt idx="12">
                  <c:v>Tamme Ninase</c:v>
                </c:pt>
                <c:pt idx="13">
                  <c:v>Varese sadam</c:v>
                </c:pt>
                <c:pt idx="14">
                  <c:v>Veerenina</c:v>
                </c:pt>
              </c:strCache>
            </c:strRef>
          </c:cat>
          <c:val>
            <c:numRef>
              <c:f>Leht3!$D$70:$D$84</c:f>
              <c:numCache>
                <c:formatCode>0.00</c:formatCode>
                <c:ptCount val="15"/>
                <c:pt idx="0">
                  <c:v>2139</c:v>
                </c:pt>
                <c:pt idx="1">
                  <c:v>937</c:v>
                </c:pt>
                <c:pt idx="2">
                  <c:v>0</c:v>
                </c:pt>
                <c:pt idx="3">
                  <c:v>1940.1</c:v>
                </c:pt>
                <c:pt idx="4">
                  <c:v>1323.4</c:v>
                </c:pt>
                <c:pt idx="5">
                  <c:v>0</c:v>
                </c:pt>
                <c:pt idx="6">
                  <c:v>10</c:v>
                </c:pt>
                <c:pt idx="7">
                  <c:v>387</c:v>
                </c:pt>
                <c:pt idx="8">
                  <c:v>4901</c:v>
                </c:pt>
                <c:pt idx="9">
                  <c:v>978</c:v>
                </c:pt>
                <c:pt idx="10">
                  <c:v>0</c:v>
                </c:pt>
                <c:pt idx="11">
                  <c:v>892.9</c:v>
                </c:pt>
                <c:pt idx="12">
                  <c:v>5736.67</c:v>
                </c:pt>
                <c:pt idx="13">
                  <c:v>1344</c:v>
                </c:pt>
                <c:pt idx="14">
                  <c:v>841</c:v>
                </c:pt>
              </c:numCache>
            </c:numRef>
          </c:val>
          <c:extLst>
            <c:ext xmlns:c16="http://schemas.microsoft.com/office/drawing/2014/chart" uri="{C3380CC4-5D6E-409C-BE32-E72D297353CC}">
              <c16:uniqueId val="{00000002-E2CA-49F3-BFF3-441F2472019B}"/>
            </c:ext>
          </c:extLst>
        </c:ser>
        <c:ser>
          <c:idx val="3"/>
          <c:order val="3"/>
          <c:tx>
            <c:strRef>
              <c:f>Leht3!$E$69</c:f>
              <c:strCache>
                <c:ptCount val="1"/>
                <c:pt idx="0">
                  <c:v>2019</c:v>
                </c:pt>
              </c:strCache>
            </c:strRef>
          </c:tx>
          <c:spPr>
            <a:solidFill>
              <a:schemeClr val="accent4"/>
            </a:solidFill>
            <a:ln>
              <a:noFill/>
            </a:ln>
            <a:effectLst/>
          </c:spPr>
          <c:invertIfNegative val="0"/>
          <c:cat>
            <c:strRef>
              <c:f>Leht3!$A$70:$A$84</c:f>
              <c:strCache>
                <c:ptCount val="15"/>
                <c:pt idx="0">
                  <c:v>Kallasmaa </c:v>
                </c:pt>
                <c:pt idx="1">
                  <c:v>Küdema</c:v>
                </c:pt>
                <c:pt idx="2">
                  <c:v>Luhtse</c:v>
                </c:pt>
                <c:pt idx="3">
                  <c:v>Läkuranna</c:v>
                </c:pt>
                <c:pt idx="4">
                  <c:v>Merise</c:v>
                </c:pt>
                <c:pt idx="5">
                  <c:v>Männiku lautri</c:v>
                </c:pt>
                <c:pt idx="6">
                  <c:v>Paatsaranna</c:v>
                </c:pt>
                <c:pt idx="7">
                  <c:v>Pihla- Panga</c:v>
                </c:pt>
                <c:pt idx="8">
                  <c:v>Rannaaugu sadam</c:v>
                </c:pt>
                <c:pt idx="9">
                  <c:v>Saaremaa sadam</c:v>
                </c:pt>
                <c:pt idx="10">
                  <c:v>Seebilõuka</c:v>
                </c:pt>
                <c:pt idx="11">
                  <c:v>Suurekivi</c:v>
                </c:pt>
                <c:pt idx="12">
                  <c:v>Tamme Ninase</c:v>
                </c:pt>
                <c:pt idx="13">
                  <c:v>Varese sadam</c:v>
                </c:pt>
                <c:pt idx="14">
                  <c:v>Veerenina</c:v>
                </c:pt>
              </c:strCache>
            </c:strRef>
          </c:cat>
          <c:val>
            <c:numRef>
              <c:f>Leht3!$E$70:$E$84</c:f>
              <c:numCache>
                <c:formatCode>0.00</c:formatCode>
                <c:ptCount val="15"/>
                <c:pt idx="0">
                  <c:v>1191</c:v>
                </c:pt>
                <c:pt idx="1">
                  <c:v>229</c:v>
                </c:pt>
                <c:pt idx="2">
                  <c:v>0</c:v>
                </c:pt>
                <c:pt idx="3">
                  <c:v>23.5</c:v>
                </c:pt>
                <c:pt idx="4">
                  <c:v>3240.7</c:v>
                </c:pt>
                <c:pt idx="5">
                  <c:v>0</c:v>
                </c:pt>
                <c:pt idx="6">
                  <c:v>0</c:v>
                </c:pt>
                <c:pt idx="7">
                  <c:v>846</c:v>
                </c:pt>
                <c:pt idx="8">
                  <c:v>4757</c:v>
                </c:pt>
                <c:pt idx="9">
                  <c:v>10</c:v>
                </c:pt>
                <c:pt idx="10">
                  <c:v>15</c:v>
                </c:pt>
                <c:pt idx="11">
                  <c:v>1988.4</c:v>
                </c:pt>
                <c:pt idx="12">
                  <c:v>2643.3</c:v>
                </c:pt>
                <c:pt idx="13">
                  <c:v>239.7</c:v>
                </c:pt>
                <c:pt idx="14">
                  <c:v>1218.4000000000001</c:v>
                </c:pt>
              </c:numCache>
            </c:numRef>
          </c:val>
          <c:extLst>
            <c:ext xmlns:c16="http://schemas.microsoft.com/office/drawing/2014/chart" uri="{C3380CC4-5D6E-409C-BE32-E72D297353CC}">
              <c16:uniqueId val="{00000003-E2CA-49F3-BFF3-441F2472019B}"/>
            </c:ext>
          </c:extLst>
        </c:ser>
        <c:ser>
          <c:idx val="4"/>
          <c:order val="4"/>
          <c:tx>
            <c:strRef>
              <c:f>Leht3!$F$69</c:f>
              <c:strCache>
                <c:ptCount val="1"/>
                <c:pt idx="0">
                  <c:v>2020</c:v>
                </c:pt>
              </c:strCache>
            </c:strRef>
          </c:tx>
          <c:spPr>
            <a:solidFill>
              <a:schemeClr val="accent5"/>
            </a:solidFill>
            <a:ln>
              <a:noFill/>
            </a:ln>
            <a:effectLst/>
          </c:spPr>
          <c:invertIfNegative val="0"/>
          <c:cat>
            <c:strRef>
              <c:f>Leht3!$A$70:$A$84</c:f>
              <c:strCache>
                <c:ptCount val="15"/>
                <c:pt idx="0">
                  <c:v>Kallasmaa </c:v>
                </c:pt>
                <c:pt idx="1">
                  <c:v>Küdema</c:v>
                </c:pt>
                <c:pt idx="2">
                  <c:v>Luhtse</c:v>
                </c:pt>
                <c:pt idx="3">
                  <c:v>Läkuranna</c:v>
                </c:pt>
                <c:pt idx="4">
                  <c:v>Merise</c:v>
                </c:pt>
                <c:pt idx="5">
                  <c:v>Männiku lautri</c:v>
                </c:pt>
                <c:pt idx="6">
                  <c:v>Paatsaranna</c:v>
                </c:pt>
                <c:pt idx="7">
                  <c:v>Pihla- Panga</c:v>
                </c:pt>
                <c:pt idx="8">
                  <c:v>Rannaaugu sadam</c:v>
                </c:pt>
                <c:pt idx="9">
                  <c:v>Saaremaa sadam</c:v>
                </c:pt>
                <c:pt idx="10">
                  <c:v>Seebilõuka</c:v>
                </c:pt>
                <c:pt idx="11">
                  <c:v>Suurekivi</c:v>
                </c:pt>
                <c:pt idx="12">
                  <c:v>Tamme Ninase</c:v>
                </c:pt>
                <c:pt idx="13">
                  <c:v>Varese sadam</c:v>
                </c:pt>
                <c:pt idx="14">
                  <c:v>Veerenina</c:v>
                </c:pt>
              </c:strCache>
            </c:strRef>
          </c:cat>
          <c:val>
            <c:numRef>
              <c:f>Leht3!$F$70:$F$84</c:f>
              <c:numCache>
                <c:formatCode>0.00</c:formatCode>
                <c:ptCount val="15"/>
                <c:pt idx="0">
                  <c:v>951</c:v>
                </c:pt>
                <c:pt idx="1">
                  <c:v>373</c:v>
                </c:pt>
                <c:pt idx="2">
                  <c:v>103</c:v>
                </c:pt>
                <c:pt idx="3">
                  <c:v>0</c:v>
                </c:pt>
                <c:pt idx="4">
                  <c:v>2674</c:v>
                </c:pt>
                <c:pt idx="5">
                  <c:v>2</c:v>
                </c:pt>
                <c:pt idx="6">
                  <c:v>49</c:v>
                </c:pt>
                <c:pt idx="7">
                  <c:v>77</c:v>
                </c:pt>
                <c:pt idx="8">
                  <c:v>4761</c:v>
                </c:pt>
                <c:pt idx="9">
                  <c:v>160</c:v>
                </c:pt>
                <c:pt idx="10">
                  <c:v>1126</c:v>
                </c:pt>
                <c:pt idx="11">
                  <c:v>2028</c:v>
                </c:pt>
                <c:pt idx="12">
                  <c:v>5122</c:v>
                </c:pt>
                <c:pt idx="13">
                  <c:v>2711</c:v>
                </c:pt>
                <c:pt idx="14">
                  <c:v>985</c:v>
                </c:pt>
              </c:numCache>
            </c:numRef>
          </c:val>
          <c:extLst>
            <c:ext xmlns:c16="http://schemas.microsoft.com/office/drawing/2014/chart" uri="{C3380CC4-5D6E-409C-BE32-E72D297353CC}">
              <c16:uniqueId val="{00000004-E2CA-49F3-BFF3-441F2472019B}"/>
            </c:ext>
          </c:extLst>
        </c:ser>
        <c:ser>
          <c:idx val="5"/>
          <c:order val="5"/>
          <c:tx>
            <c:strRef>
              <c:f>Leht3!$G$69</c:f>
              <c:strCache>
                <c:ptCount val="1"/>
                <c:pt idx="0">
                  <c:v>2021</c:v>
                </c:pt>
              </c:strCache>
            </c:strRef>
          </c:tx>
          <c:spPr>
            <a:solidFill>
              <a:schemeClr val="accent6"/>
            </a:solidFill>
            <a:ln>
              <a:noFill/>
            </a:ln>
            <a:effectLst/>
          </c:spPr>
          <c:invertIfNegative val="0"/>
          <c:cat>
            <c:strRef>
              <c:f>Leht3!$A$70:$A$84</c:f>
              <c:strCache>
                <c:ptCount val="15"/>
                <c:pt idx="0">
                  <c:v>Kallasmaa </c:v>
                </c:pt>
                <c:pt idx="1">
                  <c:v>Küdema</c:v>
                </c:pt>
                <c:pt idx="2">
                  <c:v>Luhtse</c:v>
                </c:pt>
                <c:pt idx="3">
                  <c:v>Läkuranna</c:v>
                </c:pt>
                <c:pt idx="4">
                  <c:v>Merise</c:v>
                </c:pt>
                <c:pt idx="5">
                  <c:v>Männiku lautri</c:v>
                </c:pt>
                <c:pt idx="6">
                  <c:v>Paatsaranna</c:v>
                </c:pt>
                <c:pt idx="7">
                  <c:v>Pihla- Panga</c:v>
                </c:pt>
                <c:pt idx="8">
                  <c:v>Rannaaugu sadam</c:v>
                </c:pt>
                <c:pt idx="9">
                  <c:v>Saaremaa sadam</c:v>
                </c:pt>
                <c:pt idx="10">
                  <c:v>Seebilõuka</c:v>
                </c:pt>
                <c:pt idx="11">
                  <c:v>Suurekivi</c:v>
                </c:pt>
                <c:pt idx="12">
                  <c:v>Tamme Ninase</c:v>
                </c:pt>
                <c:pt idx="13">
                  <c:v>Varese sadam</c:v>
                </c:pt>
                <c:pt idx="14">
                  <c:v>Veerenina</c:v>
                </c:pt>
              </c:strCache>
            </c:strRef>
          </c:cat>
          <c:val>
            <c:numRef>
              <c:f>Leht3!$G$70:$G$84</c:f>
              <c:numCache>
                <c:formatCode>0.00</c:formatCode>
                <c:ptCount val="15"/>
                <c:pt idx="0">
                  <c:v>256</c:v>
                </c:pt>
                <c:pt idx="1">
                  <c:v>724.5</c:v>
                </c:pt>
                <c:pt idx="2">
                  <c:v>6</c:v>
                </c:pt>
                <c:pt idx="3">
                  <c:v>45.2</c:v>
                </c:pt>
                <c:pt idx="4">
                  <c:v>1615.4</c:v>
                </c:pt>
                <c:pt idx="5">
                  <c:v>0</c:v>
                </c:pt>
                <c:pt idx="6">
                  <c:v>211.9</c:v>
                </c:pt>
                <c:pt idx="7">
                  <c:v>18</c:v>
                </c:pt>
                <c:pt idx="8">
                  <c:v>2537.1</c:v>
                </c:pt>
                <c:pt idx="9">
                  <c:v>264.5</c:v>
                </c:pt>
                <c:pt idx="10">
                  <c:v>671</c:v>
                </c:pt>
                <c:pt idx="11">
                  <c:v>296.89999999999998</c:v>
                </c:pt>
                <c:pt idx="12">
                  <c:v>1800.6</c:v>
                </c:pt>
                <c:pt idx="13">
                  <c:v>4337.8</c:v>
                </c:pt>
                <c:pt idx="14">
                  <c:v>310.7</c:v>
                </c:pt>
              </c:numCache>
            </c:numRef>
          </c:val>
          <c:extLst>
            <c:ext xmlns:c16="http://schemas.microsoft.com/office/drawing/2014/chart" uri="{C3380CC4-5D6E-409C-BE32-E72D297353CC}">
              <c16:uniqueId val="{00000005-E2CA-49F3-BFF3-441F2472019B}"/>
            </c:ext>
          </c:extLst>
        </c:ser>
        <c:ser>
          <c:idx val="6"/>
          <c:order val="6"/>
          <c:tx>
            <c:strRef>
              <c:f>Leht3!$H$69</c:f>
              <c:strCache>
                <c:ptCount val="1"/>
                <c:pt idx="0">
                  <c:v>2022</c:v>
                </c:pt>
              </c:strCache>
            </c:strRef>
          </c:tx>
          <c:spPr>
            <a:solidFill>
              <a:schemeClr val="accent1">
                <a:lumMod val="60000"/>
              </a:schemeClr>
            </a:solidFill>
            <a:ln>
              <a:noFill/>
            </a:ln>
            <a:effectLst/>
          </c:spPr>
          <c:invertIfNegative val="0"/>
          <c:cat>
            <c:strRef>
              <c:f>Leht3!$A$70:$A$84</c:f>
              <c:strCache>
                <c:ptCount val="15"/>
                <c:pt idx="0">
                  <c:v>Kallasmaa </c:v>
                </c:pt>
                <c:pt idx="1">
                  <c:v>Küdema</c:v>
                </c:pt>
                <c:pt idx="2">
                  <c:v>Luhtse</c:v>
                </c:pt>
                <c:pt idx="3">
                  <c:v>Läkuranna</c:v>
                </c:pt>
                <c:pt idx="4">
                  <c:v>Merise</c:v>
                </c:pt>
                <c:pt idx="5">
                  <c:v>Männiku lautri</c:v>
                </c:pt>
                <c:pt idx="6">
                  <c:v>Paatsaranna</c:v>
                </c:pt>
                <c:pt idx="7">
                  <c:v>Pihla- Panga</c:v>
                </c:pt>
                <c:pt idx="8">
                  <c:v>Rannaaugu sadam</c:v>
                </c:pt>
                <c:pt idx="9">
                  <c:v>Saaremaa sadam</c:v>
                </c:pt>
                <c:pt idx="10">
                  <c:v>Seebilõuka</c:v>
                </c:pt>
                <c:pt idx="11">
                  <c:v>Suurekivi</c:v>
                </c:pt>
                <c:pt idx="12">
                  <c:v>Tamme Ninase</c:v>
                </c:pt>
                <c:pt idx="13">
                  <c:v>Varese sadam</c:v>
                </c:pt>
                <c:pt idx="14">
                  <c:v>Veerenina</c:v>
                </c:pt>
              </c:strCache>
            </c:strRef>
          </c:cat>
          <c:val>
            <c:numRef>
              <c:f>Leht3!$H$70:$H$84</c:f>
              <c:numCache>
                <c:formatCode>0.00</c:formatCode>
                <c:ptCount val="15"/>
                <c:pt idx="0">
                  <c:v>116</c:v>
                </c:pt>
                <c:pt idx="1">
                  <c:v>6534.9</c:v>
                </c:pt>
                <c:pt idx="2">
                  <c:v>0</c:v>
                </c:pt>
                <c:pt idx="3">
                  <c:v>64</c:v>
                </c:pt>
                <c:pt idx="4">
                  <c:v>1325.3</c:v>
                </c:pt>
                <c:pt idx="5">
                  <c:v>269.5</c:v>
                </c:pt>
                <c:pt idx="6">
                  <c:v>28.8</c:v>
                </c:pt>
                <c:pt idx="7">
                  <c:v>35</c:v>
                </c:pt>
                <c:pt idx="8">
                  <c:v>2775.7</c:v>
                </c:pt>
                <c:pt idx="9">
                  <c:v>631.5</c:v>
                </c:pt>
                <c:pt idx="10">
                  <c:v>443</c:v>
                </c:pt>
                <c:pt idx="11">
                  <c:v>302.5</c:v>
                </c:pt>
                <c:pt idx="12">
                  <c:v>423</c:v>
                </c:pt>
                <c:pt idx="13">
                  <c:v>1624.7</c:v>
                </c:pt>
                <c:pt idx="14">
                  <c:v>449.2</c:v>
                </c:pt>
              </c:numCache>
            </c:numRef>
          </c:val>
          <c:extLst>
            <c:ext xmlns:c16="http://schemas.microsoft.com/office/drawing/2014/chart" uri="{C3380CC4-5D6E-409C-BE32-E72D297353CC}">
              <c16:uniqueId val="{00000006-E2CA-49F3-BFF3-441F2472019B}"/>
            </c:ext>
          </c:extLst>
        </c:ser>
        <c:dLbls>
          <c:showLegendKey val="0"/>
          <c:showVal val="0"/>
          <c:showCatName val="0"/>
          <c:showSerName val="0"/>
          <c:showPercent val="0"/>
          <c:showBubbleSize val="0"/>
        </c:dLbls>
        <c:gapWidth val="182"/>
        <c:axId val="590937520"/>
        <c:axId val="590937880"/>
      </c:barChart>
      <c:catAx>
        <c:axId val="59093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0937880"/>
        <c:crosses val="autoZero"/>
        <c:auto val="1"/>
        <c:lblAlgn val="ctr"/>
        <c:lblOffset val="100"/>
        <c:noMultiLvlLbl val="0"/>
      </c:catAx>
      <c:valAx>
        <c:axId val="5909378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093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Lääne-</a:t>
            </a:r>
            <a:r>
              <a:rPr lang="et-EE" baseline="0"/>
              <a:t> Saaremaa piirkonna lossimised </a:t>
            </a:r>
            <a:r>
              <a:rPr lang="et-EE" sz="1100" b="0" i="0" u="none" strike="noStrike" kern="1200" spc="0" baseline="0">
                <a:solidFill>
                  <a:srgbClr val="000000">
                    <a:lumMod val="65000"/>
                    <a:lumOff val="35000"/>
                  </a:srgbClr>
                </a:solidFill>
              </a:rPr>
              <a:t>(kg)</a:t>
            </a:r>
            <a:r>
              <a:rPr lang="et-EE" baseline="0"/>
              <a:t> 2016-2022</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2420966661082258"/>
          <c:y val="0.10504805417841288"/>
          <c:w val="0.73638180394914754"/>
          <c:h val="0.76855033861508049"/>
        </c:manualLayout>
      </c:layout>
      <c:barChart>
        <c:barDir val="bar"/>
        <c:grouping val="clustered"/>
        <c:varyColors val="0"/>
        <c:ser>
          <c:idx val="0"/>
          <c:order val="0"/>
          <c:tx>
            <c:strRef>
              <c:f>Leht3!$B$50</c:f>
              <c:strCache>
                <c:ptCount val="1"/>
                <c:pt idx="0">
                  <c:v>2016</c:v>
                </c:pt>
              </c:strCache>
            </c:strRef>
          </c:tx>
          <c:spPr>
            <a:solidFill>
              <a:schemeClr val="accent1"/>
            </a:solidFill>
            <a:ln>
              <a:noFill/>
            </a:ln>
            <a:effectLst/>
          </c:spPr>
          <c:invertIfNegative val="0"/>
          <c:cat>
            <c:strRef>
              <c:f>Leht3!$A$51:$A$66</c:f>
              <c:strCache>
                <c:ptCount val="16"/>
                <c:pt idx="0">
                  <c:v>Abruka sadam</c:v>
                </c:pt>
                <c:pt idx="1">
                  <c:v>Atla sadam</c:v>
                </c:pt>
                <c:pt idx="2">
                  <c:v>Katri</c:v>
                </c:pt>
                <c:pt idx="3">
                  <c:v>Koovi</c:v>
                </c:pt>
                <c:pt idx="4">
                  <c:v>Kotlandi</c:v>
                </c:pt>
                <c:pt idx="5">
                  <c:v>Kuusnõmme</c:v>
                </c:pt>
                <c:pt idx="6">
                  <c:v>Käkisilma</c:v>
                </c:pt>
                <c:pt idx="7">
                  <c:v>Muha</c:v>
                </c:pt>
                <c:pt idx="8">
                  <c:v>Muratsi sadam</c:v>
                </c:pt>
                <c:pt idx="9">
                  <c:v>Mändjala</c:v>
                </c:pt>
                <c:pt idx="10">
                  <c:v>Nasva Jõesadam</c:v>
                </c:pt>
                <c:pt idx="11">
                  <c:v>Nasva sadam</c:v>
                </c:pt>
                <c:pt idx="12">
                  <c:v>Riksu</c:v>
                </c:pt>
                <c:pt idx="13">
                  <c:v>Roopa sadam</c:v>
                </c:pt>
                <c:pt idx="14">
                  <c:v>Nasva Kuuse</c:v>
                </c:pt>
                <c:pt idx="15">
                  <c:v>Ülgapäe</c:v>
                </c:pt>
              </c:strCache>
            </c:strRef>
          </c:cat>
          <c:val>
            <c:numRef>
              <c:f>Leht3!$B$51:$B$66</c:f>
              <c:numCache>
                <c:formatCode>0.00</c:formatCode>
                <c:ptCount val="16"/>
                <c:pt idx="0">
                  <c:v>211.5</c:v>
                </c:pt>
                <c:pt idx="1">
                  <c:v>4402.5</c:v>
                </c:pt>
                <c:pt idx="2">
                  <c:v>506.3</c:v>
                </c:pt>
                <c:pt idx="3">
                  <c:v>2495</c:v>
                </c:pt>
                <c:pt idx="4">
                  <c:v>19</c:v>
                </c:pt>
                <c:pt idx="5">
                  <c:v>45</c:v>
                </c:pt>
                <c:pt idx="6">
                  <c:v>41</c:v>
                </c:pt>
                <c:pt idx="7">
                  <c:v>385.5</c:v>
                </c:pt>
                <c:pt idx="8">
                  <c:v>20333</c:v>
                </c:pt>
                <c:pt idx="9">
                  <c:v>57.5</c:v>
                </c:pt>
                <c:pt idx="10">
                  <c:v>208930.8</c:v>
                </c:pt>
                <c:pt idx="11">
                  <c:v>10055.299999999999</c:v>
                </c:pt>
                <c:pt idx="12">
                  <c:v>55</c:v>
                </c:pt>
                <c:pt idx="13">
                  <c:v>892.5</c:v>
                </c:pt>
                <c:pt idx="14">
                  <c:v>0</c:v>
                </c:pt>
                <c:pt idx="15">
                  <c:v>293.60000000000002</c:v>
                </c:pt>
              </c:numCache>
            </c:numRef>
          </c:val>
          <c:extLst>
            <c:ext xmlns:c16="http://schemas.microsoft.com/office/drawing/2014/chart" uri="{C3380CC4-5D6E-409C-BE32-E72D297353CC}">
              <c16:uniqueId val="{00000000-8616-437F-9689-2BEDF1A22D37}"/>
            </c:ext>
          </c:extLst>
        </c:ser>
        <c:ser>
          <c:idx val="1"/>
          <c:order val="1"/>
          <c:tx>
            <c:strRef>
              <c:f>Leht3!$C$50</c:f>
              <c:strCache>
                <c:ptCount val="1"/>
                <c:pt idx="0">
                  <c:v>2017</c:v>
                </c:pt>
              </c:strCache>
            </c:strRef>
          </c:tx>
          <c:spPr>
            <a:solidFill>
              <a:schemeClr val="accent2"/>
            </a:solidFill>
            <a:ln>
              <a:noFill/>
            </a:ln>
            <a:effectLst/>
          </c:spPr>
          <c:invertIfNegative val="0"/>
          <c:cat>
            <c:strRef>
              <c:f>Leht3!$A$51:$A$66</c:f>
              <c:strCache>
                <c:ptCount val="16"/>
                <c:pt idx="0">
                  <c:v>Abruka sadam</c:v>
                </c:pt>
                <c:pt idx="1">
                  <c:v>Atla sadam</c:v>
                </c:pt>
                <c:pt idx="2">
                  <c:v>Katri</c:v>
                </c:pt>
                <c:pt idx="3">
                  <c:v>Koovi</c:v>
                </c:pt>
                <c:pt idx="4">
                  <c:v>Kotlandi</c:v>
                </c:pt>
                <c:pt idx="5">
                  <c:v>Kuusnõmme</c:v>
                </c:pt>
                <c:pt idx="6">
                  <c:v>Käkisilma</c:v>
                </c:pt>
                <c:pt idx="7">
                  <c:v>Muha</c:v>
                </c:pt>
                <c:pt idx="8">
                  <c:v>Muratsi sadam</c:v>
                </c:pt>
                <c:pt idx="9">
                  <c:v>Mändjala</c:v>
                </c:pt>
                <c:pt idx="10">
                  <c:v>Nasva Jõesadam</c:v>
                </c:pt>
                <c:pt idx="11">
                  <c:v>Nasva sadam</c:v>
                </c:pt>
                <c:pt idx="12">
                  <c:v>Riksu</c:v>
                </c:pt>
                <c:pt idx="13">
                  <c:v>Roopa sadam</c:v>
                </c:pt>
                <c:pt idx="14">
                  <c:v>Nasva Kuuse</c:v>
                </c:pt>
                <c:pt idx="15">
                  <c:v>Ülgapäe</c:v>
                </c:pt>
              </c:strCache>
            </c:strRef>
          </c:cat>
          <c:val>
            <c:numRef>
              <c:f>Leht3!$C$51:$C$66</c:f>
              <c:numCache>
                <c:formatCode>0.00</c:formatCode>
                <c:ptCount val="16"/>
                <c:pt idx="0">
                  <c:v>0</c:v>
                </c:pt>
                <c:pt idx="1">
                  <c:v>4741.5</c:v>
                </c:pt>
                <c:pt idx="2">
                  <c:v>607.9</c:v>
                </c:pt>
                <c:pt idx="3">
                  <c:v>5470</c:v>
                </c:pt>
                <c:pt idx="4">
                  <c:v>54.2</c:v>
                </c:pt>
                <c:pt idx="5">
                  <c:v>36</c:v>
                </c:pt>
                <c:pt idx="6">
                  <c:v>510</c:v>
                </c:pt>
                <c:pt idx="7">
                  <c:v>953.5</c:v>
                </c:pt>
                <c:pt idx="8">
                  <c:v>19866</c:v>
                </c:pt>
                <c:pt idx="9">
                  <c:v>11.5</c:v>
                </c:pt>
                <c:pt idx="10">
                  <c:v>273093.58</c:v>
                </c:pt>
                <c:pt idx="11">
                  <c:v>9049.9</c:v>
                </c:pt>
                <c:pt idx="12">
                  <c:v>0</c:v>
                </c:pt>
                <c:pt idx="13">
                  <c:v>910</c:v>
                </c:pt>
                <c:pt idx="14">
                  <c:v>120</c:v>
                </c:pt>
                <c:pt idx="15">
                  <c:v>246.9</c:v>
                </c:pt>
              </c:numCache>
            </c:numRef>
          </c:val>
          <c:extLst>
            <c:ext xmlns:c16="http://schemas.microsoft.com/office/drawing/2014/chart" uri="{C3380CC4-5D6E-409C-BE32-E72D297353CC}">
              <c16:uniqueId val="{00000001-8616-437F-9689-2BEDF1A22D37}"/>
            </c:ext>
          </c:extLst>
        </c:ser>
        <c:ser>
          <c:idx val="2"/>
          <c:order val="2"/>
          <c:tx>
            <c:strRef>
              <c:f>Leht3!$D$50</c:f>
              <c:strCache>
                <c:ptCount val="1"/>
                <c:pt idx="0">
                  <c:v>2018</c:v>
                </c:pt>
              </c:strCache>
            </c:strRef>
          </c:tx>
          <c:spPr>
            <a:solidFill>
              <a:schemeClr val="accent3"/>
            </a:solidFill>
            <a:ln>
              <a:noFill/>
            </a:ln>
            <a:effectLst/>
          </c:spPr>
          <c:invertIfNegative val="0"/>
          <c:cat>
            <c:strRef>
              <c:f>Leht3!$A$51:$A$66</c:f>
              <c:strCache>
                <c:ptCount val="16"/>
                <c:pt idx="0">
                  <c:v>Abruka sadam</c:v>
                </c:pt>
                <c:pt idx="1">
                  <c:v>Atla sadam</c:v>
                </c:pt>
                <c:pt idx="2">
                  <c:v>Katri</c:v>
                </c:pt>
                <c:pt idx="3">
                  <c:v>Koovi</c:v>
                </c:pt>
                <c:pt idx="4">
                  <c:v>Kotlandi</c:v>
                </c:pt>
                <c:pt idx="5">
                  <c:v>Kuusnõmme</c:v>
                </c:pt>
                <c:pt idx="6">
                  <c:v>Käkisilma</c:v>
                </c:pt>
                <c:pt idx="7">
                  <c:v>Muha</c:v>
                </c:pt>
                <c:pt idx="8">
                  <c:v>Muratsi sadam</c:v>
                </c:pt>
                <c:pt idx="9">
                  <c:v>Mändjala</c:v>
                </c:pt>
                <c:pt idx="10">
                  <c:v>Nasva Jõesadam</c:v>
                </c:pt>
                <c:pt idx="11">
                  <c:v>Nasva sadam</c:v>
                </c:pt>
                <c:pt idx="12">
                  <c:v>Riksu</c:v>
                </c:pt>
                <c:pt idx="13">
                  <c:v>Roopa sadam</c:v>
                </c:pt>
                <c:pt idx="14">
                  <c:v>Nasva Kuuse</c:v>
                </c:pt>
                <c:pt idx="15">
                  <c:v>Ülgapäe</c:v>
                </c:pt>
              </c:strCache>
            </c:strRef>
          </c:cat>
          <c:val>
            <c:numRef>
              <c:f>Leht3!$D$51:$D$66</c:f>
              <c:numCache>
                <c:formatCode>0.00</c:formatCode>
                <c:ptCount val="16"/>
                <c:pt idx="0">
                  <c:v>15</c:v>
                </c:pt>
                <c:pt idx="1">
                  <c:v>4121.5</c:v>
                </c:pt>
                <c:pt idx="2">
                  <c:v>986</c:v>
                </c:pt>
                <c:pt idx="3">
                  <c:v>7916</c:v>
                </c:pt>
                <c:pt idx="4">
                  <c:v>0</c:v>
                </c:pt>
                <c:pt idx="5">
                  <c:v>226.5</c:v>
                </c:pt>
                <c:pt idx="6">
                  <c:v>145</c:v>
                </c:pt>
                <c:pt idx="7">
                  <c:v>1834</c:v>
                </c:pt>
                <c:pt idx="8">
                  <c:v>30356</c:v>
                </c:pt>
                <c:pt idx="9">
                  <c:v>150</c:v>
                </c:pt>
                <c:pt idx="10">
                  <c:v>194798.3</c:v>
                </c:pt>
                <c:pt idx="11">
                  <c:v>8273.4</c:v>
                </c:pt>
                <c:pt idx="12">
                  <c:v>28</c:v>
                </c:pt>
                <c:pt idx="13">
                  <c:v>967</c:v>
                </c:pt>
                <c:pt idx="14">
                  <c:v>0</c:v>
                </c:pt>
                <c:pt idx="15">
                  <c:v>231.6</c:v>
                </c:pt>
              </c:numCache>
            </c:numRef>
          </c:val>
          <c:extLst>
            <c:ext xmlns:c16="http://schemas.microsoft.com/office/drawing/2014/chart" uri="{C3380CC4-5D6E-409C-BE32-E72D297353CC}">
              <c16:uniqueId val="{00000002-8616-437F-9689-2BEDF1A22D37}"/>
            </c:ext>
          </c:extLst>
        </c:ser>
        <c:ser>
          <c:idx val="3"/>
          <c:order val="3"/>
          <c:tx>
            <c:strRef>
              <c:f>Leht3!$E$50</c:f>
              <c:strCache>
                <c:ptCount val="1"/>
                <c:pt idx="0">
                  <c:v>2019</c:v>
                </c:pt>
              </c:strCache>
            </c:strRef>
          </c:tx>
          <c:spPr>
            <a:solidFill>
              <a:schemeClr val="accent4"/>
            </a:solidFill>
            <a:ln>
              <a:noFill/>
            </a:ln>
            <a:effectLst/>
          </c:spPr>
          <c:invertIfNegative val="0"/>
          <c:cat>
            <c:strRef>
              <c:f>Leht3!$A$51:$A$66</c:f>
              <c:strCache>
                <c:ptCount val="16"/>
                <c:pt idx="0">
                  <c:v>Abruka sadam</c:v>
                </c:pt>
                <c:pt idx="1">
                  <c:v>Atla sadam</c:v>
                </c:pt>
                <c:pt idx="2">
                  <c:v>Katri</c:v>
                </c:pt>
                <c:pt idx="3">
                  <c:v>Koovi</c:v>
                </c:pt>
                <c:pt idx="4">
                  <c:v>Kotlandi</c:v>
                </c:pt>
                <c:pt idx="5">
                  <c:v>Kuusnõmme</c:v>
                </c:pt>
                <c:pt idx="6">
                  <c:v>Käkisilma</c:v>
                </c:pt>
                <c:pt idx="7">
                  <c:v>Muha</c:v>
                </c:pt>
                <c:pt idx="8">
                  <c:v>Muratsi sadam</c:v>
                </c:pt>
                <c:pt idx="9">
                  <c:v>Mändjala</c:v>
                </c:pt>
                <c:pt idx="10">
                  <c:v>Nasva Jõesadam</c:v>
                </c:pt>
                <c:pt idx="11">
                  <c:v>Nasva sadam</c:v>
                </c:pt>
                <c:pt idx="12">
                  <c:v>Riksu</c:v>
                </c:pt>
                <c:pt idx="13">
                  <c:v>Roopa sadam</c:v>
                </c:pt>
                <c:pt idx="14">
                  <c:v>Nasva Kuuse</c:v>
                </c:pt>
                <c:pt idx="15">
                  <c:v>Ülgapäe</c:v>
                </c:pt>
              </c:strCache>
            </c:strRef>
          </c:cat>
          <c:val>
            <c:numRef>
              <c:f>Leht3!$E$51:$E$66</c:f>
              <c:numCache>
                <c:formatCode>0.00</c:formatCode>
                <c:ptCount val="16"/>
                <c:pt idx="0">
                  <c:v>25</c:v>
                </c:pt>
                <c:pt idx="1">
                  <c:v>3142.1</c:v>
                </c:pt>
                <c:pt idx="2">
                  <c:v>719.5</c:v>
                </c:pt>
                <c:pt idx="3">
                  <c:v>4845</c:v>
                </c:pt>
                <c:pt idx="4">
                  <c:v>39.5</c:v>
                </c:pt>
                <c:pt idx="5">
                  <c:v>36</c:v>
                </c:pt>
                <c:pt idx="6">
                  <c:v>274.5</c:v>
                </c:pt>
                <c:pt idx="7">
                  <c:v>574.5</c:v>
                </c:pt>
                <c:pt idx="8">
                  <c:v>17986.3</c:v>
                </c:pt>
                <c:pt idx="9">
                  <c:v>0</c:v>
                </c:pt>
                <c:pt idx="10">
                  <c:v>257542.14</c:v>
                </c:pt>
                <c:pt idx="11">
                  <c:v>5242.7</c:v>
                </c:pt>
                <c:pt idx="12">
                  <c:v>9.5</c:v>
                </c:pt>
                <c:pt idx="13">
                  <c:v>993.5</c:v>
                </c:pt>
                <c:pt idx="14">
                  <c:v>0</c:v>
                </c:pt>
                <c:pt idx="15">
                  <c:v>254.6</c:v>
                </c:pt>
              </c:numCache>
            </c:numRef>
          </c:val>
          <c:extLst>
            <c:ext xmlns:c16="http://schemas.microsoft.com/office/drawing/2014/chart" uri="{C3380CC4-5D6E-409C-BE32-E72D297353CC}">
              <c16:uniqueId val="{00000003-8616-437F-9689-2BEDF1A22D37}"/>
            </c:ext>
          </c:extLst>
        </c:ser>
        <c:ser>
          <c:idx val="4"/>
          <c:order val="4"/>
          <c:tx>
            <c:strRef>
              <c:f>Leht3!$F$50</c:f>
              <c:strCache>
                <c:ptCount val="1"/>
                <c:pt idx="0">
                  <c:v>2020</c:v>
                </c:pt>
              </c:strCache>
            </c:strRef>
          </c:tx>
          <c:spPr>
            <a:solidFill>
              <a:schemeClr val="accent5"/>
            </a:solidFill>
            <a:ln>
              <a:noFill/>
            </a:ln>
            <a:effectLst/>
          </c:spPr>
          <c:invertIfNegative val="0"/>
          <c:cat>
            <c:strRef>
              <c:f>Leht3!$A$51:$A$66</c:f>
              <c:strCache>
                <c:ptCount val="16"/>
                <c:pt idx="0">
                  <c:v>Abruka sadam</c:v>
                </c:pt>
                <c:pt idx="1">
                  <c:v>Atla sadam</c:v>
                </c:pt>
                <c:pt idx="2">
                  <c:v>Katri</c:v>
                </c:pt>
                <c:pt idx="3">
                  <c:v>Koovi</c:v>
                </c:pt>
                <c:pt idx="4">
                  <c:v>Kotlandi</c:v>
                </c:pt>
                <c:pt idx="5">
                  <c:v>Kuusnõmme</c:v>
                </c:pt>
                <c:pt idx="6">
                  <c:v>Käkisilma</c:v>
                </c:pt>
                <c:pt idx="7">
                  <c:v>Muha</c:v>
                </c:pt>
                <c:pt idx="8">
                  <c:v>Muratsi sadam</c:v>
                </c:pt>
                <c:pt idx="9">
                  <c:v>Mändjala</c:v>
                </c:pt>
                <c:pt idx="10">
                  <c:v>Nasva Jõesadam</c:v>
                </c:pt>
                <c:pt idx="11">
                  <c:v>Nasva sadam</c:v>
                </c:pt>
                <c:pt idx="12">
                  <c:v>Riksu</c:v>
                </c:pt>
                <c:pt idx="13">
                  <c:v>Roopa sadam</c:v>
                </c:pt>
                <c:pt idx="14">
                  <c:v>Nasva Kuuse</c:v>
                </c:pt>
                <c:pt idx="15">
                  <c:v>Ülgapäe</c:v>
                </c:pt>
              </c:strCache>
            </c:strRef>
          </c:cat>
          <c:val>
            <c:numRef>
              <c:f>Leht3!$F$51:$F$66</c:f>
              <c:numCache>
                <c:formatCode>0.00</c:formatCode>
                <c:ptCount val="16"/>
                <c:pt idx="0">
                  <c:v>25</c:v>
                </c:pt>
                <c:pt idx="1">
                  <c:v>6108</c:v>
                </c:pt>
                <c:pt idx="2">
                  <c:v>734</c:v>
                </c:pt>
                <c:pt idx="3">
                  <c:v>4140</c:v>
                </c:pt>
                <c:pt idx="4">
                  <c:v>379</c:v>
                </c:pt>
                <c:pt idx="5">
                  <c:v>0</c:v>
                </c:pt>
                <c:pt idx="6">
                  <c:v>349</c:v>
                </c:pt>
                <c:pt idx="7">
                  <c:v>14</c:v>
                </c:pt>
                <c:pt idx="8">
                  <c:v>18727</c:v>
                </c:pt>
                <c:pt idx="9">
                  <c:v>30</c:v>
                </c:pt>
                <c:pt idx="10">
                  <c:v>140313</c:v>
                </c:pt>
                <c:pt idx="11">
                  <c:v>6036</c:v>
                </c:pt>
                <c:pt idx="12">
                  <c:v>15</c:v>
                </c:pt>
                <c:pt idx="13">
                  <c:v>870</c:v>
                </c:pt>
                <c:pt idx="14">
                  <c:v>40</c:v>
                </c:pt>
                <c:pt idx="15">
                  <c:v>110</c:v>
                </c:pt>
              </c:numCache>
            </c:numRef>
          </c:val>
          <c:extLst>
            <c:ext xmlns:c16="http://schemas.microsoft.com/office/drawing/2014/chart" uri="{C3380CC4-5D6E-409C-BE32-E72D297353CC}">
              <c16:uniqueId val="{00000004-8616-437F-9689-2BEDF1A22D37}"/>
            </c:ext>
          </c:extLst>
        </c:ser>
        <c:ser>
          <c:idx val="5"/>
          <c:order val="5"/>
          <c:tx>
            <c:strRef>
              <c:f>Leht3!$G$50</c:f>
              <c:strCache>
                <c:ptCount val="1"/>
                <c:pt idx="0">
                  <c:v>2021</c:v>
                </c:pt>
              </c:strCache>
            </c:strRef>
          </c:tx>
          <c:spPr>
            <a:solidFill>
              <a:schemeClr val="accent6"/>
            </a:solidFill>
            <a:ln>
              <a:noFill/>
            </a:ln>
            <a:effectLst/>
          </c:spPr>
          <c:invertIfNegative val="0"/>
          <c:cat>
            <c:strRef>
              <c:f>Leht3!$A$51:$A$66</c:f>
              <c:strCache>
                <c:ptCount val="16"/>
                <c:pt idx="0">
                  <c:v>Abruka sadam</c:v>
                </c:pt>
                <c:pt idx="1">
                  <c:v>Atla sadam</c:v>
                </c:pt>
                <c:pt idx="2">
                  <c:v>Katri</c:v>
                </c:pt>
                <c:pt idx="3">
                  <c:v>Koovi</c:v>
                </c:pt>
                <c:pt idx="4">
                  <c:v>Kotlandi</c:v>
                </c:pt>
                <c:pt idx="5">
                  <c:v>Kuusnõmme</c:v>
                </c:pt>
                <c:pt idx="6">
                  <c:v>Käkisilma</c:v>
                </c:pt>
                <c:pt idx="7">
                  <c:v>Muha</c:v>
                </c:pt>
                <c:pt idx="8">
                  <c:v>Muratsi sadam</c:v>
                </c:pt>
                <c:pt idx="9">
                  <c:v>Mändjala</c:v>
                </c:pt>
                <c:pt idx="10">
                  <c:v>Nasva Jõesadam</c:v>
                </c:pt>
                <c:pt idx="11">
                  <c:v>Nasva sadam</c:v>
                </c:pt>
                <c:pt idx="12">
                  <c:v>Riksu</c:v>
                </c:pt>
                <c:pt idx="13">
                  <c:v>Roopa sadam</c:v>
                </c:pt>
                <c:pt idx="14">
                  <c:v>Nasva Kuuse</c:v>
                </c:pt>
                <c:pt idx="15">
                  <c:v>Ülgapäe</c:v>
                </c:pt>
              </c:strCache>
            </c:strRef>
          </c:cat>
          <c:val>
            <c:numRef>
              <c:f>Leht3!$G$51:$G$66</c:f>
              <c:numCache>
                <c:formatCode>0.00</c:formatCode>
                <c:ptCount val="16"/>
                <c:pt idx="0">
                  <c:v>0</c:v>
                </c:pt>
                <c:pt idx="1">
                  <c:v>7562.7</c:v>
                </c:pt>
                <c:pt idx="2">
                  <c:v>523</c:v>
                </c:pt>
                <c:pt idx="3">
                  <c:v>2476.1</c:v>
                </c:pt>
                <c:pt idx="4">
                  <c:v>121</c:v>
                </c:pt>
                <c:pt idx="5">
                  <c:v>4599.5</c:v>
                </c:pt>
                <c:pt idx="6">
                  <c:v>517.5</c:v>
                </c:pt>
                <c:pt idx="7">
                  <c:v>70.8</c:v>
                </c:pt>
                <c:pt idx="8">
                  <c:v>17247.5</c:v>
                </c:pt>
                <c:pt idx="9">
                  <c:v>41.1</c:v>
                </c:pt>
                <c:pt idx="10">
                  <c:v>119859.5</c:v>
                </c:pt>
                <c:pt idx="11">
                  <c:v>4408.5</c:v>
                </c:pt>
                <c:pt idx="12">
                  <c:v>38</c:v>
                </c:pt>
                <c:pt idx="13">
                  <c:v>320.8</c:v>
                </c:pt>
                <c:pt idx="14">
                  <c:v>0</c:v>
                </c:pt>
                <c:pt idx="15">
                  <c:v>117</c:v>
                </c:pt>
              </c:numCache>
            </c:numRef>
          </c:val>
          <c:extLst>
            <c:ext xmlns:c16="http://schemas.microsoft.com/office/drawing/2014/chart" uri="{C3380CC4-5D6E-409C-BE32-E72D297353CC}">
              <c16:uniqueId val="{00000005-8616-437F-9689-2BEDF1A22D37}"/>
            </c:ext>
          </c:extLst>
        </c:ser>
        <c:ser>
          <c:idx val="6"/>
          <c:order val="6"/>
          <c:tx>
            <c:strRef>
              <c:f>Leht3!$H$50</c:f>
              <c:strCache>
                <c:ptCount val="1"/>
                <c:pt idx="0">
                  <c:v>2022</c:v>
                </c:pt>
              </c:strCache>
            </c:strRef>
          </c:tx>
          <c:spPr>
            <a:solidFill>
              <a:schemeClr val="accent1">
                <a:lumMod val="60000"/>
              </a:schemeClr>
            </a:solidFill>
            <a:ln>
              <a:noFill/>
            </a:ln>
            <a:effectLst/>
          </c:spPr>
          <c:invertIfNegative val="0"/>
          <c:cat>
            <c:strRef>
              <c:f>Leht3!$A$51:$A$66</c:f>
              <c:strCache>
                <c:ptCount val="16"/>
                <c:pt idx="0">
                  <c:v>Abruka sadam</c:v>
                </c:pt>
                <c:pt idx="1">
                  <c:v>Atla sadam</c:v>
                </c:pt>
                <c:pt idx="2">
                  <c:v>Katri</c:v>
                </c:pt>
                <c:pt idx="3">
                  <c:v>Koovi</c:v>
                </c:pt>
                <c:pt idx="4">
                  <c:v>Kotlandi</c:v>
                </c:pt>
                <c:pt idx="5">
                  <c:v>Kuusnõmme</c:v>
                </c:pt>
                <c:pt idx="6">
                  <c:v>Käkisilma</c:v>
                </c:pt>
                <c:pt idx="7">
                  <c:v>Muha</c:v>
                </c:pt>
                <c:pt idx="8">
                  <c:v>Muratsi sadam</c:v>
                </c:pt>
                <c:pt idx="9">
                  <c:v>Mändjala</c:v>
                </c:pt>
                <c:pt idx="10">
                  <c:v>Nasva Jõesadam</c:v>
                </c:pt>
                <c:pt idx="11">
                  <c:v>Nasva sadam</c:v>
                </c:pt>
                <c:pt idx="12">
                  <c:v>Riksu</c:v>
                </c:pt>
                <c:pt idx="13">
                  <c:v>Roopa sadam</c:v>
                </c:pt>
                <c:pt idx="14">
                  <c:v>Nasva Kuuse</c:v>
                </c:pt>
                <c:pt idx="15">
                  <c:v>Ülgapäe</c:v>
                </c:pt>
              </c:strCache>
            </c:strRef>
          </c:cat>
          <c:val>
            <c:numRef>
              <c:f>Leht3!$H$51:$H$66</c:f>
              <c:numCache>
                <c:formatCode>0.00</c:formatCode>
                <c:ptCount val="16"/>
                <c:pt idx="0">
                  <c:v>0</c:v>
                </c:pt>
                <c:pt idx="1">
                  <c:v>2009</c:v>
                </c:pt>
                <c:pt idx="2">
                  <c:v>351</c:v>
                </c:pt>
                <c:pt idx="3">
                  <c:v>2185</c:v>
                </c:pt>
                <c:pt idx="4">
                  <c:v>315.60000000000002</c:v>
                </c:pt>
                <c:pt idx="5">
                  <c:v>348.5</c:v>
                </c:pt>
                <c:pt idx="6">
                  <c:v>422</c:v>
                </c:pt>
                <c:pt idx="7">
                  <c:v>444</c:v>
                </c:pt>
                <c:pt idx="8">
                  <c:v>15787.1</c:v>
                </c:pt>
                <c:pt idx="9">
                  <c:v>33.5</c:v>
                </c:pt>
                <c:pt idx="10">
                  <c:v>133732</c:v>
                </c:pt>
                <c:pt idx="11">
                  <c:v>7340</c:v>
                </c:pt>
                <c:pt idx="12">
                  <c:v>4</c:v>
                </c:pt>
                <c:pt idx="13">
                  <c:v>479</c:v>
                </c:pt>
                <c:pt idx="14">
                  <c:v>0</c:v>
                </c:pt>
                <c:pt idx="15">
                  <c:v>180</c:v>
                </c:pt>
              </c:numCache>
            </c:numRef>
          </c:val>
          <c:extLst>
            <c:ext xmlns:c16="http://schemas.microsoft.com/office/drawing/2014/chart" uri="{C3380CC4-5D6E-409C-BE32-E72D297353CC}">
              <c16:uniqueId val="{00000006-8616-437F-9689-2BEDF1A22D37}"/>
            </c:ext>
          </c:extLst>
        </c:ser>
        <c:dLbls>
          <c:showLegendKey val="0"/>
          <c:showVal val="0"/>
          <c:showCatName val="0"/>
          <c:showSerName val="0"/>
          <c:showPercent val="0"/>
          <c:showBubbleSize val="0"/>
        </c:dLbls>
        <c:gapWidth val="182"/>
        <c:axId val="590882488"/>
        <c:axId val="590883928"/>
      </c:barChart>
      <c:catAx>
        <c:axId val="590882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0883928"/>
        <c:crosses val="autoZero"/>
        <c:auto val="1"/>
        <c:lblAlgn val="ctr"/>
        <c:lblOffset val="100"/>
        <c:noMultiLvlLbl val="0"/>
      </c:catAx>
      <c:valAx>
        <c:axId val="5908839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08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Orissaare piirkonna lossimised </a:t>
            </a:r>
            <a:r>
              <a:rPr lang="et-EE" sz="1100" b="0" i="0" u="none" strike="noStrike" kern="1200" spc="0" baseline="0">
                <a:solidFill>
                  <a:srgbClr val="000000">
                    <a:lumMod val="65000"/>
                    <a:lumOff val="35000"/>
                  </a:srgbClr>
                </a:solidFill>
              </a:rPr>
              <a:t>(kg) </a:t>
            </a:r>
            <a:r>
              <a:rPr lang="et-EE"/>
              <a:t> 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Leht3!$A$88</c:f>
              <c:strCache>
                <c:ptCount val="1"/>
                <c:pt idx="0">
                  <c:v>Jaani</c:v>
                </c:pt>
              </c:strCache>
            </c:strRef>
          </c:tx>
          <c:spPr>
            <a:solidFill>
              <a:schemeClr val="accent1"/>
            </a:solidFill>
            <a:ln>
              <a:noFill/>
            </a:ln>
            <a:effectLst/>
          </c:spPr>
          <c:invertIfNegative val="0"/>
          <c:cat>
            <c:numRef>
              <c:f>Leht3!$B$87:$H$87</c:f>
              <c:numCache>
                <c:formatCode>0</c:formatCode>
                <c:ptCount val="7"/>
                <c:pt idx="0">
                  <c:v>2016</c:v>
                </c:pt>
                <c:pt idx="1">
                  <c:v>2017</c:v>
                </c:pt>
                <c:pt idx="2">
                  <c:v>2018</c:v>
                </c:pt>
                <c:pt idx="3">
                  <c:v>2019</c:v>
                </c:pt>
                <c:pt idx="4">
                  <c:v>2020</c:v>
                </c:pt>
                <c:pt idx="5">
                  <c:v>2021</c:v>
                </c:pt>
                <c:pt idx="6">
                  <c:v>2022</c:v>
                </c:pt>
              </c:numCache>
            </c:numRef>
          </c:cat>
          <c:val>
            <c:numRef>
              <c:f>Leht3!$B$88:$H$88</c:f>
              <c:numCache>
                <c:formatCode>0.00</c:formatCode>
                <c:ptCount val="7"/>
                <c:pt idx="0">
                  <c:v>15</c:v>
                </c:pt>
                <c:pt idx="1">
                  <c:v>63.5</c:v>
                </c:pt>
                <c:pt idx="2">
                  <c:v>310</c:v>
                </c:pt>
                <c:pt idx="3">
                  <c:v>9</c:v>
                </c:pt>
                <c:pt idx="4">
                  <c:v>254</c:v>
                </c:pt>
                <c:pt idx="5">
                  <c:v>256</c:v>
                </c:pt>
                <c:pt idx="6">
                  <c:v>638</c:v>
                </c:pt>
              </c:numCache>
            </c:numRef>
          </c:val>
          <c:extLst>
            <c:ext xmlns:c16="http://schemas.microsoft.com/office/drawing/2014/chart" uri="{C3380CC4-5D6E-409C-BE32-E72D297353CC}">
              <c16:uniqueId val="{00000000-7194-4A8E-9F77-8DC39E1E10F8}"/>
            </c:ext>
          </c:extLst>
        </c:ser>
        <c:ser>
          <c:idx val="1"/>
          <c:order val="1"/>
          <c:tx>
            <c:strRef>
              <c:f>Leht3!$A$89</c:f>
              <c:strCache>
                <c:ptCount val="1"/>
                <c:pt idx="0">
                  <c:v>Orissaare sadam</c:v>
                </c:pt>
              </c:strCache>
            </c:strRef>
          </c:tx>
          <c:spPr>
            <a:solidFill>
              <a:schemeClr val="accent2"/>
            </a:solidFill>
            <a:ln>
              <a:noFill/>
            </a:ln>
            <a:effectLst/>
          </c:spPr>
          <c:invertIfNegative val="0"/>
          <c:cat>
            <c:numRef>
              <c:f>Leht3!$B$87:$H$87</c:f>
              <c:numCache>
                <c:formatCode>0</c:formatCode>
                <c:ptCount val="7"/>
                <c:pt idx="0">
                  <c:v>2016</c:v>
                </c:pt>
                <c:pt idx="1">
                  <c:v>2017</c:v>
                </c:pt>
                <c:pt idx="2">
                  <c:v>2018</c:v>
                </c:pt>
                <c:pt idx="3">
                  <c:v>2019</c:v>
                </c:pt>
                <c:pt idx="4">
                  <c:v>2020</c:v>
                </c:pt>
                <c:pt idx="5">
                  <c:v>2021</c:v>
                </c:pt>
                <c:pt idx="6">
                  <c:v>2022</c:v>
                </c:pt>
              </c:numCache>
            </c:numRef>
          </c:cat>
          <c:val>
            <c:numRef>
              <c:f>Leht3!$B$89:$H$89</c:f>
              <c:numCache>
                <c:formatCode>0.00</c:formatCode>
                <c:ptCount val="7"/>
                <c:pt idx="0">
                  <c:v>11866.7</c:v>
                </c:pt>
                <c:pt idx="1">
                  <c:v>15640.6</c:v>
                </c:pt>
                <c:pt idx="2">
                  <c:v>6955</c:v>
                </c:pt>
                <c:pt idx="3">
                  <c:v>6159.2</c:v>
                </c:pt>
                <c:pt idx="4">
                  <c:v>4084</c:v>
                </c:pt>
                <c:pt idx="5">
                  <c:v>1423.11</c:v>
                </c:pt>
                <c:pt idx="6">
                  <c:v>628.29999999999995</c:v>
                </c:pt>
              </c:numCache>
            </c:numRef>
          </c:val>
          <c:extLst>
            <c:ext xmlns:c16="http://schemas.microsoft.com/office/drawing/2014/chart" uri="{C3380CC4-5D6E-409C-BE32-E72D297353CC}">
              <c16:uniqueId val="{00000001-7194-4A8E-9F77-8DC39E1E10F8}"/>
            </c:ext>
          </c:extLst>
        </c:ser>
        <c:ser>
          <c:idx val="2"/>
          <c:order val="2"/>
          <c:tx>
            <c:strRef>
              <c:f>Leht3!$A$90</c:f>
              <c:strCache>
                <c:ptCount val="1"/>
                <c:pt idx="0">
                  <c:v>Rannaküla Orissaare</c:v>
                </c:pt>
              </c:strCache>
            </c:strRef>
          </c:tx>
          <c:spPr>
            <a:solidFill>
              <a:schemeClr val="accent3"/>
            </a:solidFill>
            <a:ln>
              <a:noFill/>
            </a:ln>
            <a:effectLst/>
          </c:spPr>
          <c:invertIfNegative val="0"/>
          <c:cat>
            <c:numRef>
              <c:f>Leht3!$B$87:$H$87</c:f>
              <c:numCache>
                <c:formatCode>0</c:formatCode>
                <c:ptCount val="7"/>
                <c:pt idx="0">
                  <c:v>2016</c:v>
                </c:pt>
                <c:pt idx="1">
                  <c:v>2017</c:v>
                </c:pt>
                <c:pt idx="2">
                  <c:v>2018</c:v>
                </c:pt>
                <c:pt idx="3">
                  <c:v>2019</c:v>
                </c:pt>
                <c:pt idx="4">
                  <c:v>2020</c:v>
                </c:pt>
                <c:pt idx="5">
                  <c:v>2021</c:v>
                </c:pt>
                <c:pt idx="6">
                  <c:v>2022</c:v>
                </c:pt>
              </c:numCache>
            </c:numRef>
          </c:cat>
          <c:val>
            <c:numRef>
              <c:f>Leht3!$B$90:$H$90</c:f>
              <c:numCache>
                <c:formatCode>0.00</c:formatCode>
                <c:ptCount val="7"/>
                <c:pt idx="0">
                  <c:v>4</c:v>
                </c:pt>
                <c:pt idx="1">
                  <c:v>53</c:v>
                </c:pt>
                <c:pt idx="2">
                  <c:v>0</c:v>
                </c:pt>
                <c:pt idx="3">
                  <c:v>0</c:v>
                </c:pt>
                <c:pt idx="4">
                  <c:v>0</c:v>
                </c:pt>
                <c:pt idx="5">
                  <c:v>0</c:v>
                </c:pt>
                <c:pt idx="6">
                  <c:v>0</c:v>
                </c:pt>
              </c:numCache>
            </c:numRef>
          </c:val>
          <c:extLst>
            <c:ext xmlns:c16="http://schemas.microsoft.com/office/drawing/2014/chart" uri="{C3380CC4-5D6E-409C-BE32-E72D297353CC}">
              <c16:uniqueId val="{00000002-7194-4A8E-9F77-8DC39E1E10F8}"/>
            </c:ext>
          </c:extLst>
        </c:ser>
        <c:ser>
          <c:idx val="3"/>
          <c:order val="3"/>
          <c:tx>
            <c:strRef>
              <c:f>Leht3!$A$91</c:f>
              <c:strCache>
                <c:ptCount val="1"/>
                <c:pt idx="0">
                  <c:v>Rannaküla paadisadam Orissaare </c:v>
                </c:pt>
              </c:strCache>
            </c:strRef>
          </c:tx>
          <c:spPr>
            <a:solidFill>
              <a:schemeClr val="accent4"/>
            </a:solidFill>
            <a:ln>
              <a:noFill/>
            </a:ln>
            <a:effectLst/>
          </c:spPr>
          <c:invertIfNegative val="0"/>
          <c:cat>
            <c:numRef>
              <c:f>Leht3!$B$87:$H$87</c:f>
              <c:numCache>
                <c:formatCode>0</c:formatCode>
                <c:ptCount val="7"/>
                <c:pt idx="0">
                  <c:v>2016</c:v>
                </c:pt>
                <c:pt idx="1">
                  <c:v>2017</c:v>
                </c:pt>
                <c:pt idx="2">
                  <c:v>2018</c:v>
                </c:pt>
                <c:pt idx="3">
                  <c:v>2019</c:v>
                </c:pt>
                <c:pt idx="4">
                  <c:v>2020</c:v>
                </c:pt>
                <c:pt idx="5">
                  <c:v>2021</c:v>
                </c:pt>
                <c:pt idx="6">
                  <c:v>2022</c:v>
                </c:pt>
              </c:numCache>
            </c:numRef>
          </c:cat>
          <c:val>
            <c:numRef>
              <c:f>Leht3!$B$91:$H$91</c:f>
              <c:numCache>
                <c:formatCode>0.00</c:formatCode>
                <c:ptCount val="7"/>
                <c:pt idx="0">
                  <c:v>0</c:v>
                </c:pt>
                <c:pt idx="1">
                  <c:v>40</c:v>
                </c:pt>
                <c:pt idx="2">
                  <c:v>0</c:v>
                </c:pt>
                <c:pt idx="3">
                  <c:v>0</c:v>
                </c:pt>
                <c:pt idx="4">
                  <c:v>0</c:v>
                </c:pt>
                <c:pt idx="5">
                  <c:v>0</c:v>
                </c:pt>
                <c:pt idx="6">
                  <c:v>0</c:v>
                </c:pt>
              </c:numCache>
            </c:numRef>
          </c:val>
          <c:extLst>
            <c:ext xmlns:c16="http://schemas.microsoft.com/office/drawing/2014/chart" uri="{C3380CC4-5D6E-409C-BE32-E72D297353CC}">
              <c16:uniqueId val="{00000003-7194-4A8E-9F77-8DC39E1E10F8}"/>
            </c:ext>
          </c:extLst>
        </c:ser>
        <c:ser>
          <c:idx val="4"/>
          <c:order val="4"/>
          <c:tx>
            <c:strRef>
              <c:f>Leht3!$A$92</c:f>
              <c:strCache>
                <c:ptCount val="1"/>
                <c:pt idx="0">
                  <c:v>Taaliku sadam*</c:v>
                </c:pt>
              </c:strCache>
            </c:strRef>
          </c:tx>
          <c:spPr>
            <a:solidFill>
              <a:schemeClr val="accent5"/>
            </a:solidFill>
            <a:ln>
              <a:noFill/>
            </a:ln>
            <a:effectLst/>
          </c:spPr>
          <c:invertIfNegative val="0"/>
          <c:cat>
            <c:numRef>
              <c:f>Leht3!$B$87:$H$87</c:f>
              <c:numCache>
                <c:formatCode>0</c:formatCode>
                <c:ptCount val="7"/>
                <c:pt idx="0">
                  <c:v>2016</c:v>
                </c:pt>
                <c:pt idx="1">
                  <c:v>2017</c:v>
                </c:pt>
                <c:pt idx="2">
                  <c:v>2018</c:v>
                </c:pt>
                <c:pt idx="3">
                  <c:v>2019</c:v>
                </c:pt>
                <c:pt idx="4">
                  <c:v>2020</c:v>
                </c:pt>
                <c:pt idx="5">
                  <c:v>2021</c:v>
                </c:pt>
                <c:pt idx="6">
                  <c:v>2022</c:v>
                </c:pt>
              </c:numCache>
            </c:numRef>
          </c:cat>
          <c:val>
            <c:numRef>
              <c:f>Leht3!$B$92:$H$92</c:f>
              <c:numCache>
                <c:formatCode>0.00</c:formatCode>
                <c:ptCount val="7"/>
                <c:pt idx="0">
                  <c:v>1261</c:v>
                </c:pt>
                <c:pt idx="1">
                  <c:v>816.5</c:v>
                </c:pt>
                <c:pt idx="2">
                  <c:v>1401.5</c:v>
                </c:pt>
                <c:pt idx="3">
                  <c:v>3664</c:v>
                </c:pt>
                <c:pt idx="4">
                  <c:v>803</c:v>
                </c:pt>
                <c:pt idx="5">
                  <c:v>544.1</c:v>
                </c:pt>
                <c:pt idx="6">
                  <c:v>1168.8</c:v>
                </c:pt>
              </c:numCache>
            </c:numRef>
          </c:val>
          <c:extLst>
            <c:ext xmlns:c16="http://schemas.microsoft.com/office/drawing/2014/chart" uri="{C3380CC4-5D6E-409C-BE32-E72D297353CC}">
              <c16:uniqueId val="{00000004-7194-4A8E-9F77-8DC39E1E10F8}"/>
            </c:ext>
          </c:extLst>
        </c:ser>
        <c:ser>
          <c:idx val="5"/>
          <c:order val="5"/>
          <c:tx>
            <c:strRef>
              <c:f>Leht3!$A$93</c:f>
              <c:strCache>
                <c:ptCount val="1"/>
                <c:pt idx="0">
                  <c:v>Uisusadam endine Orissaare lauter</c:v>
                </c:pt>
              </c:strCache>
            </c:strRef>
          </c:tx>
          <c:spPr>
            <a:solidFill>
              <a:schemeClr val="accent6"/>
            </a:solidFill>
            <a:ln>
              <a:noFill/>
            </a:ln>
            <a:effectLst/>
          </c:spPr>
          <c:invertIfNegative val="0"/>
          <c:cat>
            <c:numRef>
              <c:f>Leht3!$B$87:$H$87</c:f>
              <c:numCache>
                <c:formatCode>0</c:formatCode>
                <c:ptCount val="7"/>
                <c:pt idx="0">
                  <c:v>2016</c:v>
                </c:pt>
                <c:pt idx="1">
                  <c:v>2017</c:v>
                </c:pt>
                <c:pt idx="2">
                  <c:v>2018</c:v>
                </c:pt>
                <c:pt idx="3">
                  <c:v>2019</c:v>
                </c:pt>
                <c:pt idx="4">
                  <c:v>2020</c:v>
                </c:pt>
                <c:pt idx="5">
                  <c:v>2021</c:v>
                </c:pt>
                <c:pt idx="6">
                  <c:v>2022</c:v>
                </c:pt>
              </c:numCache>
            </c:numRef>
          </c:cat>
          <c:val>
            <c:numRef>
              <c:f>Leht3!$B$93:$H$93</c:f>
              <c:numCache>
                <c:formatCode>0.00</c:formatCode>
                <c:ptCount val="7"/>
                <c:pt idx="0">
                  <c:v>9445.5</c:v>
                </c:pt>
                <c:pt idx="1">
                  <c:v>8761</c:v>
                </c:pt>
                <c:pt idx="2">
                  <c:v>16186.2</c:v>
                </c:pt>
                <c:pt idx="3">
                  <c:v>16593</c:v>
                </c:pt>
                <c:pt idx="4">
                  <c:v>25093</c:v>
                </c:pt>
                <c:pt idx="5">
                  <c:v>23788.7</c:v>
                </c:pt>
                <c:pt idx="6">
                  <c:v>20575.5</c:v>
                </c:pt>
              </c:numCache>
            </c:numRef>
          </c:val>
          <c:extLst>
            <c:ext xmlns:c16="http://schemas.microsoft.com/office/drawing/2014/chart" uri="{C3380CC4-5D6E-409C-BE32-E72D297353CC}">
              <c16:uniqueId val="{00000005-7194-4A8E-9F77-8DC39E1E10F8}"/>
            </c:ext>
          </c:extLst>
        </c:ser>
        <c:dLbls>
          <c:showLegendKey val="0"/>
          <c:showVal val="0"/>
          <c:showCatName val="0"/>
          <c:showSerName val="0"/>
          <c:showPercent val="0"/>
          <c:showBubbleSize val="0"/>
        </c:dLbls>
        <c:gapWidth val="219"/>
        <c:overlap val="-27"/>
        <c:axId val="529828400"/>
        <c:axId val="529833080"/>
      </c:barChart>
      <c:catAx>
        <c:axId val="5298284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833080"/>
        <c:crosses val="autoZero"/>
        <c:auto val="1"/>
        <c:lblAlgn val="ctr"/>
        <c:lblOffset val="100"/>
        <c:noMultiLvlLbl val="0"/>
      </c:catAx>
      <c:valAx>
        <c:axId val="529833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982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Pihtla piirkonna lossimised (kg) 2016-2022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0.17804812179828003"/>
          <c:y val="6.9175882825879623E-2"/>
          <c:w val="0.77247166451460447"/>
          <c:h val="0.77970191995532956"/>
        </c:manualLayout>
      </c:layout>
      <c:barChart>
        <c:barDir val="bar"/>
        <c:grouping val="clustered"/>
        <c:varyColors val="0"/>
        <c:ser>
          <c:idx val="0"/>
          <c:order val="0"/>
          <c:tx>
            <c:strRef>
              <c:f>Leht3!$B$96</c:f>
              <c:strCache>
                <c:ptCount val="1"/>
                <c:pt idx="0">
                  <c:v>2016</c:v>
                </c:pt>
              </c:strCache>
            </c:strRef>
          </c:tx>
          <c:spPr>
            <a:solidFill>
              <a:schemeClr val="accent1"/>
            </a:solidFill>
            <a:ln>
              <a:noFill/>
            </a:ln>
            <a:effectLst/>
          </c:spPr>
          <c:invertIfNegative val="0"/>
          <c:cat>
            <c:strRef>
              <c:f>Leht3!$A$97:$A$104</c:f>
              <c:strCache>
                <c:ptCount val="8"/>
                <c:pt idx="0">
                  <c:v>Kärsa sadam</c:v>
                </c:pt>
                <c:pt idx="1">
                  <c:v>Nässuma</c:v>
                </c:pt>
                <c:pt idx="2">
                  <c:v>Põhja- Niidi sadam</c:v>
                </c:pt>
                <c:pt idx="3">
                  <c:v>Rannaküla (Pihtla)</c:v>
                </c:pt>
                <c:pt idx="4">
                  <c:v>Sandla sadam</c:v>
                </c:pt>
                <c:pt idx="5">
                  <c:v>Siia sadam</c:v>
                </c:pt>
                <c:pt idx="6">
                  <c:v>Sutu</c:v>
                </c:pt>
                <c:pt idx="7">
                  <c:v>Kasti</c:v>
                </c:pt>
              </c:strCache>
            </c:strRef>
          </c:cat>
          <c:val>
            <c:numRef>
              <c:f>Leht3!$B$97:$B$104</c:f>
              <c:numCache>
                <c:formatCode>0.00</c:formatCode>
                <c:ptCount val="8"/>
                <c:pt idx="0">
                  <c:v>1700.8</c:v>
                </c:pt>
                <c:pt idx="1">
                  <c:v>637.5</c:v>
                </c:pt>
                <c:pt idx="2">
                  <c:v>0</c:v>
                </c:pt>
                <c:pt idx="3">
                  <c:v>1604</c:v>
                </c:pt>
                <c:pt idx="4">
                  <c:v>6583.5</c:v>
                </c:pt>
                <c:pt idx="5">
                  <c:v>25978.799999999999</c:v>
                </c:pt>
                <c:pt idx="6">
                  <c:v>6562.9</c:v>
                </c:pt>
                <c:pt idx="7">
                  <c:v>0</c:v>
                </c:pt>
              </c:numCache>
            </c:numRef>
          </c:val>
          <c:extLst>
            <c:ext xmlns:c16="http://schemas.microsoft.com/office/drawing/2014/chart" uri="{C3380CC4-5D6E-409C-BE32-E72D297353CC}">
              <c16:uniqueId val="{00000000-45C7-4A67-A787-BD7CD553A10A}"/>
            </c:ext>
          </c:extLst>
        </c:ser>
        <c:ser>
          <c:idx val="1"/>
          <c:order val="1"/>
          <c:tx>
            <c:strRef>
              <c:f>Leht3!$C$96</c:f>
              <c:strCache>
                <c:ptCount val="1"/>
                <c:pt idx="0">
                  <c:v>2017</c:v>
                </c:pt>
              </c:strCache>
            </c:strRef>
          </c:tx>
          <c:spPr>
            <a:solidFill>
              <a:schemeClr val="accent2"/>
            </a:solidFill>
            <a:ln>
              <a:noFill/>
            </a:ln>
            <a:effectLst/>
          </c:spPr>
          <c:invertIfNegative val="0"/>
          <c:cat>
            <c:strRef>
              <c:f>Leht3!$A$97:$A$104</c:f>
              <c:strCache>
                <c:ptCount val="8"/>
                <c:pt idx="0">
                  <c:v>Kärsa sadam</c:v>
                </c:pt>
                <c:pt idx="1">
                  <c:v>Nässuma</c:v>
                </c:pt>
                <c:pt idx="2">
                  <c:v>Põhja- Niidi sadam</c:v>
                </c:pt>
                <c:pt idx="3">
                  <c:v>Rannaküla (Pihtla)</c:v>
                </c:pt>
                <c:pt idx="4">
                  <c:v>Sandla sadam</c:v>
                </c:pt>
                <c:pt idx="5">
                  <c:v>Siia sadam</c:v>
                </c:pt>
                <c:pt idx="6">
                  <c:v>Sutu</c:v>
                </c:pt>
                <c:pt idx="7">
                  <c:v>Kasti</c:v>
                </c:pt>
              </c:strCache>
            </c:strRef>
          </c:cat>
          <c:val>
            <c:numRef>
              <c:f>Leht3!$C$97:$C$104</c:f>
              <c:numCache>
                <c:formatCode>0.00</c:formatCode>
                <c:ptCount val="8"/>
                <c:pt idx="0">
                  <c:v>3303</c:v>
                </c:pt>
                <c:pt idx="1">
                  <c:v>1294</c:v>
                </c:pt>
                <c:pt idx="2">
                  <c:v>0</c:v>
                </c:pt>
                <c:pt idx="3">
                  <c:v>1879</c:v>
                </c:pt>
                <c:pt idx="4">
                  <c:v>9310</c:v>
                </c:pt>
                <c:pt idx="5">
                  <c:v>429.2</c:v>
                </c:pt>
                <c:pt idx="6">
                  <c:v>12708.8</c:v>
                </c:pt>
                <c:pt idx="7">
                  <c:v>0</c:v>
                </c:pt>
              </c:numCache>
            </c:numRef>
          </c:val>
          <c:extLst>
            <c:ext xmlns:c16="http://schemas.microsoft.com/office/drawing/2014/chart" uri="{C3380CC4-5D6E-409C-BE32-E72D297353CC}">
              <c16:uniqueId val="{00000001-45C7-4A67-A787-BD7CD553A10A}"/>
            </c:ext>
          </c:extLst>
        </c:ser>
        <c:ser>
          <c:idx val="2"/>
          <c:order val="2"/>
          <c:tx>
            <c:strRef>
              <c:f>Leht3!$D$96</c:f>
              <c:strCache>
                <c:ptCount val="1"/>
                <c:pt idx="0">
                  <c:v>2018</c:v>
                </c:pt>
              </c:strCache>
            </c:strRef>
          </c:tx>
          <c:spPr>
            <a:solidFill>
              <a:schemeClr val="accent3"/>
            </a:solidFill>
            <a:ln>
              <a:noFill/>
            </a:ln>
            <a:effectLst/>
          </c:spPr>
          <c:invertIfNegative val="0"/>
          <c:cat>
            <c:strRef>
              <c:f>Leht3!$A$97:$A$104</c:f>
              <c:strCache>
                <c:ptCount val="8"/>
                <c:pt idx="0">
                  <c:v>Kärsa sadam</c:v>
                </c:pt>
                <c:pt idx="1">
                  <c:v>Nässuma</c:v>
                </c:pt>
                <c:pt idx="2">
                  <c:v>Põhja- Niidi sadam</c:v>
                </c:pt>
                <c:pt idx="3">
                  <c:v>Rannaküla (Pihtla)</c:v>
                </c:pt>
                <c:pt idx="4">
                  <c:v>Sandla sadam</c:v>
                </c:pt>
                <c:pt idx="5">
                  <c:v>Siia sadam</c:v>
                </c:pt>
                <c:pt idx="6">
                  <c:v>Sutu</c:v>
                </c:pt>
                <c:pt idx="7">
                  <c:v>Kasti</c:v>
                </c:pt>
              </c:strCache>
            </c:strRef>
          </c:cat>
          <c:val>
            <c:numRef>
              <c:f>Leht3!$D$97:$D$104</c:f>
              <c:numCache>
                <c:formatCode>0.00</c:formatCode>
                <c:ptCount val="8"/>
                <c:pt idx="0">
                  <c:v>7715.5</c:v>
                </c:pt>
                <c:pt idx="1">
                  <c:v>853.7</c:v>
                </c:pt>
                <c:pt idx="2">
                  <c:v>0</c:v>
                </c:pt>
                <c:pt idx="3">
                  <c:v>1222</c:v>
                </c:pt>
                <c:pt idx="4">
                  <c:v>24016.2</c:v>
                </c:pt>
                <c:pt idx="5">
                  <c:v>8643.9</c:v>
                </c:pt>
                <c:pt idx="6">
                  <c:v>23030.7</c:v>
                </c:pt>
                <c:pt idx="7">
                  <c:v>689.4</c:v>
                </c:pt>
              </c:numCache>
            </c:numRef>
          </c:val>
          <c:extLst>
            <c:ext xmlns:c16="http://schemas.microsoft.com/office/drawing/2014/chart" uri="{C3380CC4-5D6E-409C-BE32-E72D297353CC}">
              <c16:uniqueId val="{00000002-45C7-4A67-A787-BD7CD553A10A}"/>
            </c:ext>
          </c:extLst>
        </c:ser>
        <c:ser>
          <c:idx val="3"/>
          <c:order val="3"/>
          <c:tx>
            <c:strRef>
              <c:f>Leht3!$E$96</c:f>
              <c:strCache>
                <c:ptCount val="1"/>
                <c:pt idx="0">
                  <c:v>2019</c:v>
                </c:pt>
              </c:strCache>
            </c:strRef>
          </c:tx>
          <c:spPr>
            <a:solidFill>
              <a:schemeClr val="accent4"/>
            </a:solidFill>
            <a:ln>
              <a:noFill/>
            </a:ln>
            <a:effectLst/>
          </c:spPr>
          <c:invertIfNegative val="0"/>
          <c:cat>
            <c:strRef>
              <c:f>Leht3!$A$97:$A$104</c:f>
              <c:strCache>
                <c:ptCount val="8"/>
                <c:pt idx="0">
                  <c:v>Kärsa sadam</c:v>
                </c:pt>
                <c:pt idx="1">
                  <c:v>Nässuma</c:v>
                </c:pt>
                <c:pt idx="2">
                  <c:v>Põhja- Niidi sadam</c:v>
                </c:pt>
                <c:pt idx="3">
                  <c:v>Rannaküla (Pihtla)</c:v>
                </c:pt>
                <c:pt idx="4">
                  <c:v>Sandla sadam</c:v>
                </c:pt>
                <c:pt idx="5">
                  <c:v>Siia sadam</c:v>
                </c:pt>
                <c:pt idx="6">
                  <c:v>Sutu</c:v>
                </c:pt>
                <c:pt idx="7">
                  <c:v>Kasti</c:v>
                </c:pt>
              </c:strCache>
            </c:strRef>
          </c:cat>
          <c:val>
            <c:numRef>
              <c:f>Leht3!$E$97:$E$104</c:f>
              <c:numCache>
                <c:formatCode>0.00</c:formatCode>
                <c:ptCount val="8"/>
                <c:pt idx="0">
                  <c:v>899</c:v>
                </c:pt>
                <c:pt idx="1">
                  <c:v>890</c:v>
                </c:pt>
                <c:pt idx="2">
                  <c:v>31</c:v>
                </c:pt>
                <c:pt idx="3">
                  <c:v>618</c:v>
                </c:pt>
                <c:pt idx="4">
                  <c:v>13793.5</c:v>
                </c:pt>
                <c:pt idx="5">
                  <c:v>9432.9</c:v>
                </c:pt>
                <c:pt idx="6">
                  <c:v>24351.5</c:v>
                </c:pt>
                <c:pt idx="7">
                  <c:v>20</c:v>
                </c:pt>
              </c:numCache>
            </c:numRef>
          </c:val>
          <c:extLst>
            <c:ext xmlns:c16="http://schemas.microsoft.com/office/drawing/2014/chart" uri="{C3380CC4-5D6E-409C-BE32-E72D297353CC}">
              <c16:uniqueId val="{00000003-45C7-4A67-A787-BD7CD553A10A}"/>
            </c:ext>
          </c:extLst>
        </c:ser>
        <c:ser>
          <c:idx val="4"/>
          <c:order val="4"/>
          <c:tx>
            <c:strRef>
              <c:f>Leht3!$F$96</c:f>
              <c:strCache>
                <c:ptCount val="1"/>
                <c:pt idx="0">
                  <c:v>2020</c:v>
                </c:pt>
              </c:strCache>
            </c:strRef>
          </c:tx>
          <c:spPr>
            <a:solidFill>
              <a:schemeClr val="accent5"/>
            </a:solidFill>
            <a:ln>
              <a:noFill/>
            </a:ln>
            <a:effectLst/>
          </c:spPr>
          <c:invertIfNegative val="0"/>
          <c:cat>
            <c:strRef>
              <c:f>Leht3!$A$97:$A$104</c:f>
              <c:strCache>
                <c:ptCount val="8"/>
                <c:pt idx="0">
                  <c:v>Kärsa sadam</c:v>
                </c:pt>
                <c:pt idx="1">
                  <c:v>Nässuma</c:v>
                </c:pt>
                <c:pt idx="2">
                  <c:v>Põhja- Niidi sadam</c:v>
                </c:pt>
                <c:pt idx="3">
                  <c:v>Rannaküla (Pihtla)</c:v>
                </c:pt>
                <c:pt idx="4">
                  <c:v>Sandla sadam</c:v>
                </c:pt>
                <c:pt idx="5">
                  <c:v>Siia sadam</c:v>
                </c:pt>
                <c:pt idx="6">
                  <c:v>Sutu</c:v>
                </c:pt>
                <c:pt idx="7">
                  <c:v>Kasti</c:v>
                </c:pt>
              </c:strCache>
            </c:strRef>
          </c:cat>
          <c:val>
            <c:numRef>
              <c:f>Leht3!$F$97:$F$104</c:f>
              <c:numCache>
                <c:formatCode>0.00</c:formatCode>
                <c:ptCount val="8"/>
                <c:pt idx="0">
                  <c:v>0</c:v>
                </c:pt>
                <c:pt idx="1">
                  <c:v>2689</c:v>
                </c:pt>
                <c:pt idx="2">
                  <c:v>426</c:v>
                </c:pt>
                <c:pt idx="3">
                  <c:v>825</c:v>
                </c:pt>
                <c:pt idx="4">
                  <c:v>9945</c:v>
                </c:pt>
                <c:pt idx="5">
                  <c:v>25973</c:v>
                </c:pt>
                <c:pt idx="6">
                  <c:v>13104</c:v>
                </c:pt>
                <c:pt idx="7">
                  <c:v>0</c:v>
                </c:pt>
              </c:numCache>
            </c:numRef>
          </c:val>
          <c:extLst>
            <c:ext xmlns:c16="http://schemas.microsoft.com/office/drawing/2014/chart" uri="{C3380CC4-5D6E-409C-BE32-E72D297353CC}">
              <c16:uniqueId val="{00000004-45C7-4A67-A787-BD7CD553A10A}"/>
            </c:ext>
          </c:extLst>
        </c:ser>
        <c:ser>
          <c:idx val="5"/>
          <c:order val="5"/>
          <c:tx>
            <c:strRef>
              <c:f>Leht3!$G$96</c:f>
              <c:strCache>
                <c:ptCount val="1"/>
                <c:pt idx="0">
                  <c:v>2021</c:v>
                </c:pt>
              </c:strCache>
            </c:strRef>
          </c:tx>
          <c:spPr>
            <a:solidFill>
              <a:schemeClr val="accent6"/>
            </a:solidFill>
            <a:ln>
              <a:noFill/>
            </a:ln>
            <a:effectLst/>
          </c:spPr>
          <c:invertIfNegative val="0"/>
          <c:cat>
            <c:strRef>
              <c:f>Leht3!$A$97:$A$104</c:f>
              <c:strCache>
                <c:ptCount val="8"/>
                <c:pt idx="0">
                  <c:v>Kärsa sadam</c:v>
                </c:pt>
                <c:pt idx="1">
                  <c:v>Nässuma</c:v>
                </c:pt>
                <c:pt idx="2">
                  <c:v>Põhja- Niidi sadam</c:v>
                </c:pt>
                <c:pt idx="3">
                  <c:v>Rannaküla (Pihtla)</c:v>
                </c:pt>
                <c:pt idx="4">
                  <c:v>Sandla sadam</c:v>
                </c:pt>
                <c:pt idx="5">
                  <c:v>Siia sadam</c:v>
                </c:pt>
                <c:pt idx="6">
                  <c:v>Sutu</c:v>
                </c:pt>
                <c:pt idx="7">
                  <c:v>Kasti</c:v>
                </c:pt>
              </c:strCache>
            </c:strRef>
          </c:cat>
          <c:val>
            <c:numRef>
              <c:f>Leht3!$G$97:$G$104</c:f>
              <c:numCache>
                <c:formatCode>0.00</c:formatCode>
                <c:ptCount val="8"/>
                <c:pt idx="0">
                  <c:v>93</c:v>
                </c:pt>
                <c:pt idx="1">
                  <c:v>2926.1</c:v>
                </c:pt>
                <c:pt idx="2">
                  <c:v>91</c:v>
                </c:pt>
                <c:pt idx="3">
                  <c:v>2172.8000000000002</c:v>
                </c:pt>
                <c:pt idx="4">
                  <c:v>8192.85</c:v>
                </c:pt>
                <c:pt idx="5">
                  <c:v>17057.400000000001</c:v>
                </c:pt>
                <c:pt idx="6">
                  <c:v>15017.5</c:v>
                </c:pt>
                <c:pt idx="7">
                  <c:v>0</c:v>
                </c:pt>
              </c:numCache>
            </c:numRef>
          </c:val>
          <c:extLst>
            <c:ext xmlns:c16="http://schemas.microsoft.com/office/drawing/2014/chart" uri="{C3380CC4-5D6E-409C-BE32-E72D297353CC}">
              <c16:uniqueId val="{00000005-45C7-4A67-A787-BD7CD553A10A}"/>
            </c:ext>
          </c:extLst>
        </c:ser>
        <c:ser>
          <c:idx val="6"/>
          <c:order val="6"/>
          <c:tx>
            <c:strRef>
              <c:f>Leht3!$H$96</c:f>
              <c:strCache>
                <c:ptCount val="1"/>
                <c:pt idx="0">
                  <c:v>2022</c:v>
                </c:pt>
              </c:strCache>
            </c:strRef>
          </c:tx>
          <c:spPr>
            <a:solidFill>
              <a:schemeClr val="accent1">
                <a:lumMod val="60000"/>
              </a:schemeClr>
            </a:solidFill>
            <a:ln>
              <a:noFill/>
            </a:ln>
            <a:effectLst/>
          </c:spPr>
          <c:invertIfNegative val="0"/>
          <c:cat>
            <c:strRef>
              <c:f>Leht3!$A$97:$A$104</c:f>
              <c:strCache>
                <c:ptCount val="8"/>
                <c:pt idx="0">
                  <c:v>Kärsa sadam</c:v>
                </c:pt>
                <c:pt idx="1">
                  <c:v>Nässuma</c:v>
                </c:pt>
                <c:pt idx="2">
                  <c:v>Põhja- Niidi sadam</c:v>
                </c:pt>
                <c:pt idx="3">
                  <c:v>Rannaküla (Pihtla)</c:v>
                </c:pt>
                <c:pt idx="4">
                  <c:v>Sandla sadam</c:v>
                </c:pt>
                <c:pt idx="5">
                  <c:v>Siia sadam</c:v>
                </c:pt>
                <c:pt idx="6">
                  <c:v>Sutu</c:v>
                </c:pt>
                <c:pt idx="7">
                  <c:v>Kasti</c:v>
                </c:pt>
              </c:strCache>
            </c:strRef>
          </c:cat>
          <c:val>
            <c:numRef>
              <c:f>Leht3!$H$97:$H$104</c:f>
              <c:numCache>
                <c:formatCode>0.00</c:formatCode>
                <c:ptCount val="8"/>
                <c:pt idx="0">
                  <c:v>0</c:v>
                </c:pt>
                <c:pt idx="1">
                  <c:v>4579</c:v>
                </c:pt>
                <c:pt idx="2">
                  <c:v>0</c:v>
                </c:pt>
                <c:pt idx="3">
                  <c:v>795</c:v>
                </c:pt>
                <c:pt idx="4">
                  <c:v>6015.5</c:v>
                </c:pt>
                <c:pt idx="5">
                  <c:v>12906.1</c:v>
                </c:pt>
                <c:pt idx="6">
                  <c:v>21042</c:v>
                </c:pt>
                <c:pt idx="7">
                  <c:v>0</c:v>
                </c:pt>
              </c:numCache>
            </c:numRef>
          </c:val>
          <c:extLst>
            <c:ext xmlns:c16="http://schemas.microsoft.com/office/drawing/2014/chart" uri="{C3380CC4-5D6E-409C-BE32-E72D297353CC}">
              <c16:uniqueId val="{00000006-45C7-4A67-A787-BD7CD553A10A}"/>
            </c:ext>
          </c:extLst>
        </c:ser>
        <c:dLbls>
          <c:showLegendKey val="0"/>
          <c:showVal val="0"/>
          <c:showCatName val="0"/>
          <c:showSerName val="0"/>
          <c:showPercent val="0"/>
          <c:showBubbleSize val="0"/>
        </c:dLbls>
        <c:gapWidth val="182"/>
        <c:axId val="528614416"/>
        <c:axId val="528611896"/>
      </c:barChart>
      <c:catAx>
        <c:axId val="52861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8611896"/>
        <c:crosses val="autoZero"/>
        <c:auto val="1"/>
        <c:lblAlgn val="ctr"/>
        <c:lblOffset val="100"/>
        <c:noMultiLvlLbl val="0"/>
      </c:catAx>
      <c:valAx>
        <c:axId val="5286118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2861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avon">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avon">
      <a:majorFont>
        <a:latin typeface="Century Gothic" panose="020B0502020202020204"/>
        <a:ea typeface=""/>
        <a:cs typeface=""/>
      </a:majorFont>
      <a:minorFont>
        <a:latin typeface="Century Gothic" panose="020B0502020202020204"/>
        <a:ea typeface=""/>
        <a:cs typeface=""/>
      </a:minorFont>
    </a:fontScheme>
    <a:fmtScheme>
      <a:fillStyleLst>
        <a:solidFill>
          <a:schemeClr val="phClr"/>
        </a:solidFill>
        <a:gradFill>
          <a:gsLst>
            <a:gs pos="0">
              <a:schemeClr val="phClr">
                <a:tint val="60000"/>
                <a:lumMod val="105000"/>
              </a:schemeClr>
            </a:gs>
            <a:gs pos="100000">
              <a:schemeClr val="phClr">
                <a:tint val="65000"/>
                <a:lumMod val="100000"/>
              </a:schemeClr>
            </a:gs>
            <a:gs pos="100000">
              <a:schemeClr val="phClr">
                <a:tint val="70000"/>
                <a:lumMod val="100000"/>
              </a:schemeClr>
            </a:gs>
          </a:gsLst>
          <a:lin ang="5400000" scaled="0"/>
          <a:tileRect/>
        </a:gradFill>
        <a:gradFill>
          <a:gsLst>
            <a:gs pos="0">
              <a:schemeClr val="phClr">
                <a:lumMod val="100000"/>
              </a:schemeClr>
            </a:gs>
            <a:gs pos="50000">
              <a:schemeClr val="phClr">
                <a:shade val="99000"/>
                <a:lumMod val="100000"/>
              </a:schemeClr>
            </a:gs>
            <a:gs pos="100000">
              <a:schemeClr val="phClr">
                <a:shade val="98000"/>
                <a:lumMod val="100000"/>
              </a:schemeClr>
            </a:gs>
          </a:gsLst>
          <a:lin ang="5400000" scaled="0"/>
          <a:tileRect/>
        </a:gradFill>
      </a:fillStyleLst>
      <a:lnStyleLst>
        <a:ln w="6350" cap="flat" cmpd="sng" algn="ctr">
          <a:prstDash val="solid"/>
        </a:ln>
        <a:ln w="12700" cap="flat" cmpd="sng" algn="ctr">
          <a:prstDash val="solid"/>
        </a:ln>
        <a:ln w="1905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90000"/>
                <a:shade val="92000"/>
              </a:schemeClr>
            </a:gs>
            <a:gs pos="77000">
              <a:schemeClr val="phClr">
                <a:tint val="100000"/>
                <a:shade val="73000"/>
              </a:schemeClr>
            </a:gs>
            <a:gs pos="100000">
              <a:schemeClr val="phClr">
                <a:tint val="100000"/>
                <a:shade val="67000"/>
              </a:schemeClr>
            </a:gs>
          </a:gsLst>
          <a:lin ang="5400000" scaled="0"/>
          <a:tileRect/>
        </a:gradFill>
        <a:blipFill rotWithShape="1">
          <a:srcRect/>
          <a:tile tx="0" ty="0" sx="60000" sy="6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E8C6F-2D7C-4DF5-8CC4-05DE3EBDD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124</Pages>
  <Words>35511</Words>
  <Characters>205969</Characters>
  <Application>Microsoft Office Word</Application>
  <DocSecurity>0</DocSecurity>
  <Lines>1716</Lines>
  <Paragraphs>481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240999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Hille Tänak- Helde</dc:creator>
  <dc:description/>
  <cp:lastModifiedBy>Hille Tänak- Helde</cp:lastModifiedBy>
  <cp:revision>13</cp:revision>
  <cp:lastPrinted>2024-01-30T09:04:00Z</cp:lastPrinted>
  <dcterms:created xsi:type="dcterms:W3CDTF">2024-01-30T07:13:00Z</dcterms:created>
  <dcterms:modified xsi:type="dcterms:W3CDTF">2024-01-30T09:52:00Z</dcterms:modified>
  <dc:language>et-EE</dc:language>
</cp:coreProperties>
</file>