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DE37" w14:textId="77777777" w:rsidR="00CC2D80" w:rsidRPr="00F3202A" w:rsidRDefault="00CC2D80" w:rsidP="00CC2D80">
      <w:pPr>
        <w:pStyle w:val="Pealkiri2"/>
        <w:numPr>
          <w:ilvl w:val="0"/>
          <w:numId w:val="0"/>
        </w:numPr>
        <w:ind w:left="576"/>
        <w:jc w:val="right"/>
        <w:rPr>
          <w:rFonts w:ascii="Times New Roman" w:hAnsi="Times New Roman" w:cs="Times New Roman"/>
          <w:i w:val="0"/>
        </w:rPr>
      </w:pPr>
      <w:bookmarkStart w:id="0" w:name="_Toc443905407"/>
      <w:r w:rsidRPr="00F3202A">
        <w:rPr>
          <w:rFonts w:ascii="Times New Roman" w:hAnsi="Times New Roman" w:cs="Times New Roman"/>
          <w:i w:val="0"/>
        </w:rPr>
        <w:t xml:space="preserve">Lisa 10 </w:t>
      </w:r>
    </w:p>
    <w:p w14:paraId="22B0A1B9" w14:textId="77777777" w:rsidR="00CC2D80" w:rsidRPr="00CC2D80" w:rsidRDefault="00CC2D80" w:rsidP="00CC2D80">
      <w:pPr>
        <w:rPr>
          <w:lang w:val="x-none"/>
        </w:rPr>
      </w:pPr>
    </w:p>
    <w:p w14:paraId="6D390375" w14:textId="77777777" w:rsidR="00CC2D80" w:rsidRPr="00CC2D80" w:rsidRDefault="00CC2D80" w:rsidP="00CC2D80">
      <w:pPr>
        <w:pStyle w:val="Pealkiri2"/>
        <w:numPr>
          <w:ilvl w:val="0"/>
          <w:numId w:val="0"/>
        </w:numPr>
        <w:ind w:left="576"/>
        <w:rPr>
          <w:rFonts w:ascii="Times New Roman" w:hAnsi="Times New Roman" w:cs="Times New Roman"/>
          <w:i w:val="0"/>
        </w:rPr>
      </w:pPr>
      <w:r w:rsidRPr="00CC2D80">
        <w:rPr>
          <w:rFonts w:ascii="Times New Roman" w:hAnsi="Times New Roman" w:cs="Times New Roman"/>
          <w:i w:val="0"/>
        </w:rPr>
        <w:t>MTÜ Saarte Kalandus projektide hindamiskomisjoni valimise reglement</w:t>
      </w:r>
      <w:bookmarkEnd w:id="0"/>
    </w:p>
    <w:p w14:paraId="3F4683C2" w14:textId="77777777" w:rsidR="00CC2D80" w:rsidRPr="00CC2D80" w:rsidRDefault="00CC2D80" w:rsidP="00CC2D80">
      <w:pPr>
        <w:rPr>
          <w:lang w:val="x-none"/>
        </w:rPr>
      </w:pPr>
    </w:p>
    <w:p w14:paraId="0F3984D1" w14:textId="627E0064" w:rsidR="00CB4CFB" w:rsidRPr="00384329" w:rsidRDefault="00CB4CFB" w:rsidP="00CC2D80">
      <w:pPr>
        <w:pStyle w:val="Loendilik"/>
        <w:numPr>
          <w:ilvl w:val="0"/>
          <w:numId w:val="2"/>
        </w:numPr>
        <w:ind w:left="720"/>
        <w:jc w:val="both"/>
        <w:rPr>
          <w:color w:val="FF0000"/>
        </w:rPr>
      </w:pPr>
      <w:commentRangeStart w:id="1"/>
      <w:r w:rsidRPr="00384329">
        <w:rPr>
          <w:color w:val="FF0000"/>
        </w:rPr>
        <w:t>Hindamiskomisjoni (edaspidi HK) liikme kandidaatide leidmiseks korraldatakse avalik konkurss</w:t>
      </w:r>
      <w:r w:rsidR="00384329" w:rsidRPr="00384329">
        <w:rPr>
          <w:color w:val="FF0000"/>
        </w:rPr>
        <w:t xml:space="preserve"> (konkursi teade avaldatakse koos üldkoosoleku teatega</w:t>
      </w:r>
      <w:r w:rsidR="009759ED">
        <w:rPr>
          <w:color w:val="FF0000"/>
        </w:rPr>
        <w:t>)</w:t>
      </w:r>
      <w:bookmarkStart w:id="2" w:name="_GoBack"/>
      <w:bookmarkEnd w:id="2"/>
      <w:r w:rsidR="00384329" w:rsidRPr="00384329">
        <w:rPr>
          <w:color w:val="FF0000"/>
        </w:rPr>
        <w:t>.</w:t>
      </w:r>
      <w:r w:rsidRPr="00384329">
        <w:rPr>
          <w:color w:val="FF0000"/>
        </w:rPr>
        <w:t xml:space="preserve"> </w:t>
      </w:r>
    </w:p>
    <w:p w14:paraId="2CA90983" w14:textId="77777777" w:rsidR="00CB4CFB" w:rsidRPr="00384329" w:rsidRDefault="00CB4CFB" w:rsidP="00CB4CFB">
      <w:pPr>
        <w:pStyle w:val="Loendilik"/>
        <w:jc w:val="both"/>
        <w:rPr>
          <w:color w:val="FF0000"/>
        </w:rPr>
      </w:pPr>
    </w:p>
    <w:p w14:paraId="6BDEBA48" w14:textId="77777777" w:rsidR="00CB4CFB" w:rsidRPr="00384329" w:rsidRDefault="00CB4CFB" w:rsidP="00CC2D80">
      <w:pPr>
        <w:pStyle w:val="Loendilik"/>
        <w:numPr>
          <w:ilvl w:val="0"/>
          <w:numId w:val="2"/>
        </w:numPr>
        <w:ind w:left="720"/>
        <w:jc w:val="both"/>
        <w:rPr>
          <w:color w:val="FF0000"/>
        </w:rPr>
      </w:pPr>
      <w:r w:rsidRPr="00384329">
        <w:rPr>
          <w:color w:val="FF0000"/>
        </w:rPr>
        <w:t>Hindamiskomisjoni liikme pädevused ja kvalifikatsiooninõuded:</w:t>
      </w:r>
    </w:p>
    <w:p w14:paraId="5A9D583C" w14:textId="77777777" w:rsidR="00CB4CFB" w:rsidRPr="00384329" w:rsidRDefault="00CB4CFB" w:rsidP="00CB4CFB">
      <w:pPr>
        <w:pStyle w:val="Loendilik"/>
        <w:jc w:val="both"/>
        <w:rPr>
          <w:color w:val="FF0000"/>
        </w:rPr>
      </w:pPr>
      <w:r w:rsidRPr="00384329">
        <w:rPr>
          <w:color w:val="FF0000"/>
        </w:rPr>
        <w:t xml:space="preserve">2.1. </w:t>
      </w:r>
      <w:r w:rsidR="00384329" w:rsidRPr="00384329">
        <w:rPr>
          <w:color w:val="FF0000"/>
        </w:rPr>
        <w:t>K</w:t>
      </w:r>
      <w:r w:rsidRPr="00384329">
        <w:rPr>
          <w:color w:val="FF0000"/>
        </w:rPr>
        <w:t xml:space="preserve">alandusvaldkonna väga hea tundmine, pikaajaline </w:t>
      </w:r>
      <w:r w:rsidR="00384329" w:rsidRPr="00384329">
        <w:rPr>
          <w:color w:val="FF0000"/>
        </w:rPr>
        <w:t xml:space="preserve">praktiline </w:t>
      </w:r>
      <w:r w:rsidRPr="00384329">
        <w:rPr>
          <w:color w:val="FF0000"/>
        </w:rPr>
        <w:t>tegevus kalandus</w:t>
      </w:r>
      <w:r w:rsidR="00384329" w:rsidRPr="00384329">
        <w:rPr>
          <w:color w:val="FF0000"/>
        </w:rPr>
        <w:t xml:space="preserve">ega seotud </w:t>
      </w:r>
      <w:r w:rsidRPr="00384329">
        <w:rPr>
          <w:color w:val="FF0000"/>
        </w:rPr>
        <w:t xml:space="preserve"> </w:t>
      </w:r>
      <w:r w:rsidR="00384329" w:rsidRPr="00384329">
        <w:rPr>
          <w:color w:val="FF0000"/>
        </w:rPr>
        <w:t>valdkondades.</w:t>
      </w:r>
    </w:p>
    <w:p w14:paraId="614EEE34" w14:textId="77777777" w:rsidR="00384329" w:rsidRPr="00384329" w:rsidRDefault="00384329" w:rsidP="00CB4CFB">
      <w:pPr>
        <w:pStyle w:val="Loendilik"/>
        <w:jc w:val="both"/>
        <w:rPr>
          <w:color w:val="FF0000"/>
        </w:rPr>
      </w:pPr>
      <w:r w:rsidRPr="00384329">
        <w:rPr>
          <w:color w:val="FF0000"/>
        </w:rPr>
        <w:t>2.2.Väga head teadmised ehituse, k. a. sadamaehituse valdkonnas.</w:t>
      </w:r>
    </w:p>
    <w:p w14:paraId="2C153D20" w14:textId="77777777" w:rsidR="00384329" w:rsidRPr="00384329" w:rsidRDefault="00384329" w:rsidP="00CB4CFB">
      <w:pPr>
        <w:pStyle w:val="Loendilik"/>
        <w:jc w:val="both"/>
        <w:rPr>
          <w:color w:val="FF0000"/>
        </w:rPr>
      </w:pPr>
      <w:r w:rsidRPr="00384329">
        <w:rPr>
          <w:color w:val="FF0000"/>
        </w:rPr>
        <w:t>2.3.Väga head teadmised ettevõtluse planeerimise ja edendamise valdkonnas.</w:t>
      </w:r>
    </w:p>
    <w:p w14:paraId="45D6AE3F" w14:textId="77777777" w:rsidR="00384329" w:rsidRPr="00384329" w:rsidRDefault="00384329" w:rsidP="00CB4CFB">
      <w:pPr>
        <w:pStyle w:val="Loendilik"/>
        <w:jc w:val="both"/>
        <w:rPr>
          <w:color w:val="FF0000"/>
        </w:rPr>
      </w:pPr>
      <w:r w:rsidRPr="00384329">
        <w:rPr>
          <w:color w:val="FF0000"/>
        </w:rPr>
        <w:t>2.4. Väga head teadmised avaliku halduse toimimise ja edendamise valdkonnas.</w:t>
      </w:r>
      <w:commentRangeEnd w:id="1"/>
      <w:r>
        <w:rPr>
          <w:rStyle w:val="Kommentaariviide"/>
          <w:rFonts w:eastAsia="Calibri"/>
        </w:rPr>
        <w:commentReference w:id="1"/>
      </w:r>
    </w:p>
    <w:p w14:paraId="57E77483" w14:textId="77777777" w:rsidR="00CB4CFB" w:rsidRDefault="00CB4CFB" w:rsidP="00CB4CFB">
      <w:pPr>
        <w:pStyle w:val="Loendilik"/>
        <w:jc w:val="both"/>
      </w:pPr>
    </w:p>
    <w:p w14:paraId="656DA652" w14:textId="77777777" w:rsidR="00CC2D80" w:rsidRDefault="00CC2D80" w:rsidP="00CC2D80">
      <w:pPr>
        <w:pStyle w:val="Loendilik"/>
        <w:numPr>
          <w:ilvl w:val="0"/>
          <w:numId w:val="2"/>
        </w:numPr>
        <w:ind w:left="720"/>
        <w:jc w:val="both"/>
      </w:pPr>
      <w:r>
        <w:t>Hindamiskomisjoni liikme kandidaatide registreerimine algab büroos pärast vastava üldkoosoleku väljakuulutamist. Kandidaadi saab üles seada igaüks tegevliikmete hulgast. Avalduse võib eelnevalt esitada büroole, kes registreerib kandidaadi ja kontrollib kandidaadi vastavust määruses toodud nõuetele. Kandidaat annab oma nõusoleku kandideerimise kohta hiljemalt koosoleku päevaks kirjalikult või kohapeal suulise kinnitusena. Kirjaliku kandideerimisnõusoleku puudumisel kandidaati nimekirja ei lülitata, kui kandidaat koosolekul ei viibi.</w:t>
      </w:r>
    </w:p>
    <w:p w14:paraId="3A9284BC" w14:textId="77777777" w:rsidR="00CB4CFB" w:rsidRDefault="00CB4CFB" w:rsidP="00CB4CFB">
      <w:pPr>
        <w:pStyle w:val="Loendilik"/>
        <w:jc w:val="both"/>
      </w:pPr>
    </w:p>
    <w:p w14:paraId="21FAFE2F" w14:textId="77777777" w:rsidR="00CC2D80" w:rsidRDefault="00CC2D80" w:rsidP="00CC2D80">
      <w:pPr>
        <w:pStyle w:val="Loendilik"/>
        <w:numPr>
          <w:ilvl w:val="0"/>
          <w:numId w:val="2"/>
        </w:numPr>
        <w:jc w:val="both"/>
      </w:pPr>
      <w:r>
        <w:t>HK liikme kandidaadiks võib esitada vähemalt 18-aastase füüsilise isiku, kes on andnud kandideerimiseks kirjaliku nõusoleku ning nõusolekus kinnitab oma teovõimet, eesti keele valdamist vähemalt HK tööks vajalikul määral ja esitab oma kontaktandmed.</w:t>
      </w:r>
    </w:p>
    <w:p w14:paraId="34F61B67" w14:textId="77777777" w:rsidR="00CC2D80" w:rsidRDefault="00CC2D80" w:rsidP="00CC2D80">
      <w:pPr>
        <w:pStyle w:val="Loendilik"/>
        <w:numPr>
          <w:ilvl w:val="0"/>
          <w:numId w:val="2"/>
        </w:numPr>
        <w:jc w:val="both"/>
      </w:pPr>
      <w:r>
        <w:t>Kandidaatide registreerimise lõpu kuulutab välja koosoleku juhataja. Kandidaatide nimekiri koostatakse järjestatuna perekonnanimede järgi tähestikulisse järjestusse. HK valitakse üldkoosolekul salajasel hääletamisel. Hääletamisel osalevad kõik üldkoosolekul osalevad liikmed. Igal  liikmel on üks hääl.</w:t>
      </w:r>
    </w:p>
    <w:p w14:paraId="60861F73" w14:textId="77777777" w:rsidR="00CC2D80" w:rsidRDefault="00CC2D80" w:rsidP="00CC2D80">
      <w:pPr>
        <w:pStyle w:val="Loendilik"/>
        <w:numPr>
          <w:ilvl w:val="0"/>
          <w:numId w:val="2"/>
        </w:numPr>
      </w:pPr>
      <w:r>
        <w:t>Hääletuse protseduur.</w:t>
      </w:r>
      <w:r>
        <w:br/>
        <w:t xml:space="preserve">4.1 Hääletuse läbiviimiseks valitakse häältelugemiskomisjoni 3 liiget. </w:t>
      </w:r>
    </w:p>
    <w:p w14:paraId="1471613C" w14:textId="77777777" w:rsidR="00CC2D80" w:rsidRDefault="00CC2D80" w:rsidP="00CC2D80">
      <w:pPr>
        <w:pStyle w:val="Loendilik"/>
        <w:numPr>
          <w:ilvl w:val="1"/>
          <w:numId w:val="2"/>
        </w:numPr>
        <w:jc w:val="both"/>
      </w:pPr>
      <w:r>
        <w:t>Üldkoosoleku liikmed teevad ettepanekud HK liikmete kandidaatide kohta. HK on 9 põhiliiget ja 3 asendusliiget.</w:t>
      </w:r>
    </w:p>
    <w:p w14:paraId="5CAC0832" w14:textId="77777777" w:rsidR="00CC2D80" w:rsidRDefault="00CC2D80" w:rsidP="00CC2D80">
      <w:pPr>
        <w:pStyle w:val="Loendilik"/>
        <w:numPr>
          <w:ilvl w:val="1"/>
          <w:numId w:val="2"/>
        </w:numPr>
        <w:jc w:val="both"/>
      </w:pPr>
      <w:r>
        <w:t xml:space="preserve">Järgmisena jagatakse osalevatele kalandussektori liikmetele allkirja vastu hääletussedelid, kuhu on kantud tähestikulises järjestuses kandidaadid, keda esitati.  Liikmed, kellel on tehtud volitused koosolekul osalemise ja otsustamise kohta saavad iga volituse eest lisa hääletussedeli, mille kohta annab volitatu allkirja volitaja nime järgi. </w:t>
      </w:r>
    </w:p>
    <w:p w14:paraId="4EC3585B" w14:textId="77777777" w:rsidR="00CC2D80" w:rsidRDefault="00CC2D80" w:rsidP="00CC2D80">
      <w:pPr>
        <w:pStyle w:val="Loendilik"/>
        <w:numPr>
          <w:ilvl w:val="1"/>
          <w:numId w:val="2"/>
        </w:numPr>
        <w:jc w:val="both"/>
      </w:pPr>
      <w:r>
        <w:t xml:space="preserve">Hääletussedelid on varustatud kastikestega, kuhu valija saab teha risti temale sobiva kandidaadi järgi. Iga hääletaja saab valida üheksa nime nimekirjast. Volitustega hääletussedelitele kehtivad samad nõuded. </w:t>
      </w:r>
    </w:p>
    <w:p w14:paraId="37216E01" w14:textId="77777777" w:rsidR="00CC2D80" w:rsidRDefault="00CC2D80" w:rsidP="00CC2D80">
      <w:pPr>
        <w:pStyle w:val="Loendilik"/>
        <w:numPr>
          <w:ilvl w:val="1"/>
          <w:numId w:val="2"/>
        </w:numPr>
        <w:jc w:val="both"/>
      </w:pPr>
      <w:r>
        <w:t xml:space="preserve">Hääletussedelid, millele on märgitud rohkem riste, kui on lubatud ehk üle üheksa, loetakse rikutuks ning neid ei arvestata. Hääletussedel peab vastama lisatud vormile (lisa 10.1 vorm). </w:t>
      </w:r>
    </w:p>
    <w:p w14:paraId="1885F921" w14:textId="77777777" w:rsidR="00CC2D80" w:rsidRDefault="00CC2D80" w:rsidP="00CC2D80">
      <w:pPr>
        <w:pStyle w:val="Loendilik"/>
        <w:numPr>
          <w:ilvl w:val="1"/>
          <w:numId w:val="2"/>
        </w:numPr>
        <w:jc w:val="both"/>
      </w:pPr>
      <w:r>
        <w:t>Hääletamiseks ettenähtud aja jooksul on õigus rikutud või ülemärgitud hääletussedel vahetada enne valimiskasti panekut puhta sedeli vastu. Uue hääletussedeli saamise kohta annab hääletaja allkirja ning tagastab rikutud sedeli, millele tehakse tühistuse märge. Enne hääletuseks määratud aja lõppu vahetamiseks tagastatud rikutud sedeleid säilitatakse eraldi ning neid ei loeta hääletustulemuste protokollis.</w:t>
      </w:r>
    </w:p>
    <w:p w14:paraId="66B31584" w14:textId="77777777" w:rsidR="00CC2D80" w:rsidRDefault="00CC2D80" w:rsidP="00CC2D80">
      <w:pPr>
        <w:pStyle w:val="Loendilik"/>
        <w:numPr>
          <w:ilvl w:val="1"/>
          <w:numId w:val="2"/>
        </w:numPr>
        <w:jc w:val="both"/>
      </w:pPr>
      <w:r>
        <w:lastRenderedPageBreak/>
        <w:t>Täidetud hääletussedelid kogutakse valimiskasti. Hääled loeb üle häältelugemiskomisjon, kes moodustab vastavalt tulemustele paremusjärjestuse. Tulemused järjestatakse vastavalt saadud häälte arvule.</w:t>
      </w:r>
    </w:p>
    <w:p w14:paraId="7F4D616F" w14:textId="77777777" w:rsidR="00CC2D80" w:rsidRDefault="00CC2D80" w:rsidP="00CC2D80">
      <w:pPr>
        <w:pStyle w:val="Loendilik"/>
        <w:numPr>
          <w:ilvl w:val="1"/>
          <w:numId w:val="2"/>
        </w:numPr>
        <w:jc w:val="both"/>
      </w:pPr>
      <w:r>
        <w:t xml:space="preserve">HK liikmeks valituks osutuvad need kandideerinud, kes on saanud enim hääli. Ülejäänud kandidaadid, kes on häälte arvult allapoole määratud põhiliikmete arvu, jäävad nimekirja asendusliikmetena saavutatud hääletustulemuse järjestuses. </w:t>
      </w:r>
    </w:p>
    <w:p w14:paraId="569FE286" w14:textId="77777777" w:rsidR="00CC2D80" w:rsidRDefault="00CC2D80" w:rsidP="00CC2D80">
      <w:pPr>
        <w:pStyle w:val="Loendilik"/>
        <w:numPr>
          <w:ilvl w:val="1"/>
          <w:numId w:val="2"/>
        </w:numPr>
        <w:jc w:val="both"/>
      </w:pPr>
      <w:r>
        <w:t>Sama häälte arvu saanud kandidaadid järjestatakse loosimise teel. Loosimise viib läbi häältelugemiskomisjon ja loosijaks on koosoleku juhataja.</w:t>
      </w:r>
    </w:p>
    <w:p w14:paraId="4EC20A9E" w14:textId="77777777" w:rsidR="00CC2D80" w:rsidRDefault="00CC2D80" w:rsidP="00CC2D80">
      <w:pPr>
        <w:pStyle w:val="Loendilik"/>
        <w:numPr>
          <w:ilvl w:val="1"/>
          <w:numId w:val="2"/>
        </w:numPr>
        <w:spacing w:after="280"/>
        <w:jc w:val="both"/>
      </w:pPr>
      <w:r>
        <w:t>Häältelugemiskomisjon esitab hääletuse protokolli ja HK koosseisu üldkoosolekule ja HK koosseis ning asendusliikmete järjekord kinnitatakse üldkoosolekul otsusena. Hilisem HK liikmete asendamine toimub enim hääli saanud isikute asendusliikmete nimekirja alusel juhatuse otsusega.</w:t>
      </w:r>
    </w:p>
    <w:p w14:paraId="051E245F" w14:textId="77777777" w:rsidR="00CC2D80" w:rsidRDefault="00CC2D80" w:rsidP="00CC2D80">
      <w:pPr>
        <w:pStyle w:val="Loendilik"/>
        <w:spacing w:before="280" w:after="280"/>
        <w:ind w:left="360"/>
        <w:contextualSpacing/>
        <w:jc w:val="both"/>
      </w:pPr>
    </w:p>
    <w:p w14:paraId="7066033C" w14:textId="77777777" w:rsidR="00CC2D80" w:rsidRPr="00CC2D80" w:rsidRDefault="00CC2D80" w:rsidP="00CC2D80">
      <w:pPr>
        <w:pStyle w:val="Loendilik"/>
        <w:spacing w:before="280" w:after="280"/>
        <w:ind w:left="360"/>
        <w:contextualSpacing/>
        <w:jc w:val="both"/>
        <w:rPr>
          <w:b/>
        </w:rPr>
      </w:pPr>
      <w:r w:rsidRPr="00CC2D80">
        <w:rPr>
          <w:b/>
        </w:rPr>
        <w:t>Vaidlustamine</w:t>
      </w:r>
    </w:p>
    <w:p w14:paraId="149713E1" w14:textId="77777777" w:rsidR="00CC2D80" w:rsidRDefault="00CC2D80" w:rsidP="00CC2D80">
      <w:pPr>
        <w:pStyle w:val="Loendilik"/>
        <w:spacing w:before="280" w:after="280"/>
        <w:ind w:left="360"/>
        <w:contextualSpacing/>
        <w:jc w:val="both"/>
      </w:pPr>
    </w:p>
    <w:p w14:paraId="02E2549E" w14:textId="77777777" w:rsidR="00CC2D80" w:rsidRDefault="00CC2D80" w:rsidP="00CC2D80">
      <w:pPr>
        <w:pStyle w:val="Loendilik"/>
        <w:numPr>
          <w:ilvl w:val="0"/>
          <w:numId w:val="2"/>
        </w:numPr>
        <w:jc w:val="both"/>
      </w:pPr>
      <w:r>
        <w:t>Kandidaadi esitamist või tema vastavust nõuetele võib vaidlustada ainult üldkoosolekul kohapeal või kandideerimist takistavate asjaolude ilmnemisel mõistliku aja jooksul. Koosolekul esitatud protest võib olla suuline tingimusel, et selle esitamine ja lahendus on protokollitavad. Muul juhul peab protest olema esitatud kirjalikult kõiki asjasse puutuvaid asjaolusid ära näidates.</w:t>
      </w:r>
    </w:p>
    <w:p w14:paraId="3FD4D584" w14:textId="77777777" w:rsidR="00CC2D80" w:rsidRDefault="00CC2D80" w:rsidP="00CC2D80">
      <w:pPr>
        <w:pStyle w:val="Loendilik"/>
        <w:numPr>
          <w:ilvl w:val="0"/>
          <w:numId w:val="2"/>
        </w:numPr>
        <w:jc w:val="both"/>
      </w:pPr>
      <w:r>
        <w:t>HK liikmete valimisega seotud protest esitatakse üldkoosolekule koheseks lahendamiseks.</w:t>
      </w:r>
    </w:p>
    <w:p w14:paraId="630FF18F" w14:textId="77777777" w:rsidR="00CC2D80" w:rsidRDefault="00CC2D80" w:rsidP="00CC2D80">
      <w:pPr>
        <w:pStyle w:val="Loendilik"/>
        <w:numPr>
          <w:ilvl w:val="0"/>
          <w:numId w:val="2"/>
        </w:numPr>
        <w:jc w:val="both"/>
      </w:pPr>
      <w:r>
        <w:t xml:space="preserve">Hääletustulemusi võib vaidlustada ainult samale häältelugemiskomisjonile avaliku hääletuse puhul kohe pärast tulemuste teatavaks tegemist. </w:t>
      </w:r>
    </w:p>
    <w:p w14:paraId="75B2EC2A" w14:textId="77777777" w:rsidR="00CC2D80" w:rsidRDefault="00CC2D80" w:rsidP="00CC2D80">
      <w:pPr>
        <w:pStyle w:val="Loendilik"/>
        <w:numPr>
          <w:ilvl w:val="0"/>
          <w:numId w:val="2"/>
        </w:numPr>
        <w:jc w:val="both"/>
      </w:pPr>
      <w:r>
        <w:t>Salajase hääletuse puhul on protestijal õigus nõuda häälte ülelugemist ja siis loeb hääled üle protestija/protestijate juuresolekul sama häältelugemiskomisjon.</w:t>
      </w:r>
    </w:p>
    <w:p w14:paraId="6C1AF2B4" w14:textId="77777777" w:rsidR="00CC2D80" w:rsidRDefault="00CC2D80" w:rsidP="00CC2D80">
      <w:pPr>
        <w:pStyle w:val="Loendilik"/>
        <w:numPr>
          <w:ilvl w:val="0"/>
          <w:numId w:val="2"/>
        </w:numPr>
        <w:spacing w:after="280"/>
        <w:jc w:val="both"/>
      </w:pPr>
      <w:r>
        <w:t>Protestide lahendamine protokollitakse.</w:t>
      </w:r>
    </w:p>
    <w:sectPr w:rsidR="00CC2D80">
      <w:footerReference w:type="first" r:id="rId10"/>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eferent" w:date="2019-10-28T10:42:00Z" w:initials="Kalandus">
    <w:p w14:paraId="353DC95D" w14:textId="77777777" w:rsidR="00384329" w:rsidRDefault="00384329">
      <w:pPr>
        <w:pStyle w:val="Kommentaaritekst"/>
      </w:pPr>
      <w:r>
        <w:rPr>
          <w:rStyle w:val="Kommentaariviide"/>
        </w:rPr>
        <w:annotationRef/>
      </w:r>
      <w:r>
        <w:t>Lisada juurde need punktid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3DC9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DC95D" w16cid:durableId="216144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13D56" w14:textId="77777777" w:rsidR="00F946A0" w:rsidRDefault="00F946A0" w:rsidP="00CC2D80">
      <w:r>
        <w:separator/>
      </w:r>
    </w:p>
  </w:endnote>
  <w:endnote w:type="continuationSeparator" w:id="0">
    <w:p w14:paraId="723A4825" w14:textId="77777777" w:rsidR="00F946A0" w:rsidRDefault="00F946A0" w:rsidP="00CC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009422"/>
      <w:docPartObj>
        <w:docPartGallery w:val="Page Numbers (Bottom of Page)"/>
        <w:docPartUnique/>
      </w:docPartObj>
    </w:sdtPr>
    <w:sdtEndPr/>
    <w:sdtContent>
      <w:p w14:paraId="79AA2C2C" w14:textId="77777777" w:rsidR="00384329" w:rsidRDefault="00384329">
        <w:pPr>
          <w:pStyle w:val="Jalus"/>
          <w:jc w:val="center"/>
        </w:pPr>
        <w:r>
          <w:fldChar w:fldCharType="begin"/>
        </w:r>
        <w:r>
          <w:instrText>PAGE   \* MERGEFORMAT</w:instrText>
        </w:r>
        <w:r>
          <w:fldChar w:fldCharType="separate"/>
        </w:r>
        <w:r>
          <w:rPr>
            <w:lang w:val="et-EE"/>
          </w:rPr>
          <w:t>2</w:t>
        </w:r>
        <w:r>
          <w:fldChar w:fldCharType="end"/>
        </w:r>
      </w:p>
    </w:sdtContent>
  </w:sdt>
  <w:p w14:paraId="106D9D8E" w14:textId="77777777" w:rsidR="00490531" w:rsidRDefault="00F946A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64CE4" w14:textId="77777777" w:rsidR="00F946A0" w:rsidRDefault="00F946A0" w:rsidP="00CC2D80">
      <w:r>
        <w:separator/>
      </w:r>
    </w:p>
  </w:footnote>
  <w:footnote w:type="continuationSeparator" w:id="0">
    <w:p w14:paraId="6A1D20BC" w14:textId="77777777" w:rsidR="00F946A0" w:rsidRDefault="00F946A0" w:rsidP="00CC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30"/>
    <w:multiLevelType w:val="multilevel"/>
    <w:tmpl w:val="00000030"/>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684169D"/>
    <w:multiLevelType w:val="multilevel"/>
    <w:tmpl w:val="81982606"/>
    <w:lvl w:ilvl="0">
      <w:start w:val="1"/>
      <w:numFmt w:val="decimal"/>
      <w:lvlText w:val="%1."/>
      <w:lvlJc w:val="left"/>
      <w:pPr>
        <w:tabs>
          <w:tab w:val="num" w:pos="720"/>
        </w:tabs>
        <w:ind w:left="720" w:hanging="720"/>
      </w:pPr>
    </w:lvl>
    <w:lvl w:ilvl="1">
      <w:start w:val="1"/>
      <w:numFmt w:val="decimal"/>
      <w:pStyle w:val="Pealkiri2"/>
      <w:lvlText w:val="%2."/>
      <w:lvlJc w:val="left"/>
      <w:pPr>
        <w:tabs>
          <w:tab w:val="num" w:pos="1440"/>
        </w:tabs>
        <w:ind w:left="1440" w:hanging="720"/>
      </w:pPr>
    </w:lvl>
    <w:lvl w:ilvl="2">
      <w:start w:val="1"/>
      <w:numFmt w:val="decimal"/>
      <w:pStyle w:val="Pealkiri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ferent">
    <w15:presenceInfo w15:providerId="None" w15:userId="Refer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80"/>
    <w:rsid w:val="000630FF"/>
    <w:rsid w:val="00094693"/>
    <w:rsid w:val="00384329"/>
    <w:rsid w:val="005235A6"/>
    <w:rsid w:val="006408E8"/>
    <w:rsid w:val="009759ED"/>
    <w:rsid w:val="00CB4CFB"/>
    <w:rsid w:val="00CC2D80"/>
    <w:rsid w:val="00F3202A"/>
    <w:rsid w:val="00F946A0"/>
    <w:rsid w:val="00F957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C315"/>
  <w15:chartTrackingRefBased/>
  <w15:docId w15:val="{3072E95D-AFE8-4D22-9B70-A38DEAA7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CC2D80"/>
    <w:pPr>
      <w:suppressAutoHyphens/>
      <w:spacing w:after="0" w:line="240" w:lineRule="auto"/>
      <w:ind w:right="57"/>
      <w:jc w:val="both"/>
    </w:pPr>
    <w:rPr>
      <w:rFonts w:ascii="Times New Roman" w:eastAsia="Calibri" w:hAnsi="Times New Roman" w:cs="Times New Roman"/>
      <w:sz w:val="24"/>
      <w:lang w:eastAsia="zh-CN"/>
    </w:rPr>
  </w:style>
  <w:style w:type="paragraph" w:styleId="Pealkiri2">
    <w:name w:val="heading 2"/>
    <w:basedOn w:val="Normaallaad"/>
    <w:next w:val="Normaallaad"/>
    <w:link w:val="Pealkiri2Mrk"/>
    <w:qFormat/>
    <w:rsid w:val="00CC2D80"/>
    <w:pPr>
      <w:keepNext/>
      <w:numPr>
        <w:ilvl w:val="1"/>
        <w:numId w:val="3"/>
      </w:numPr>
      <w:outlineLvl w:val="1"/>
    </w:pPr>
    <w:rPr>
      <w:rFonts w:ascii="Arial" w:eastAsia="Times New Roman" w:hAnsi="Arial" w:cs="Arial"/>
      <w:b/>
      <w:bCs/>
      <w:i/>
      <w:iCs/>
      <w:sz w:val="28"/>
      <w:szCs w:val="28"/>
      <w:lang w:val="x-none"/>
    </w:rPr>
  </w:style>
  <w:style w:type="paragraph" w:styleId="Pealkiri3">
    <w:name w:val="heading 3"/>
    <w:basedOn w:val="Normaallaad"/>
    <w:next w:val="Normaallaad"/>
    <w:link w:val="Pealkiri3Mrk"/>
    <w:qFormat/>
    <w:rsid w:val="00CC2D80"/>
    <w:pPr>
      <w:keepNext/>
      <w:numPr>
        <w:ilvl w:val="2"/>
        <w:numId w:val="3"/>
      </w:numPr>
      <w:outlineLvl w:val="2"/>
    </w:pPr>
    <w:rPr>
      <w:rFonts w:ascii="Arial" w:eastAsia="Times New Roman" w:hAnsi="Arial" w:cs="Arial"/>
      <w:b/>
      <w:bCs/>
      <w:sz w:val="26"/>
      <w:szCs w:val="26"/>
      <w:lang w:val="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CC2D80"/>
    <w:rPr>
      <w:rFonts w:ascii="Arial" w:eastAsia="Times New Roman" w:hAnsi="Arial" w:cs="Arial"/>
      <w:b/>
      <w:bCs/>
      <w:i/>
      <w:iCs/>
      <w:sz w:val="28"/>
      <w:szCs w:val="28"/>
      <w:lang w:val="x-none" w:eastAsia="zh-CN"/>
    </w:rPr>
  </w:style>
  <w:style w:type="character" w:customStyle="1" w:styleId="Pealkiri3Mrk">
    <w:name w:val="Pealkiri 3 Märk"/>
    <w:basedOn w:val="Liguvaikefont"/>
    <w:link w:val="Pealkiri3"/>
    <w:rsid w:val="00CC2D80"/>
    <w:rPr>
      <w:rFonts w:ascii="Arial" w:eastAsia="Times New Roman" w:hAnsi="Arial" w:cs="Arial"/>
      <w:b/>
      <w:bCs/>
      <w:sz w:val="26"/>
      <w:szCs w:val="26"/>
      <w:lang w:val="x-none" w:eastAsia="zh-CN"/>
    </w:rPr>
  </w:style>
  <w:style w:type="paragraph" w:styleId="Pis">
    <w:name w:val="header"/>
    <w:basedOn w:val="Normaallaad"/>
    <w:link w:val="PisMrk1"/>
    <w:rsid w:val="00CC2D80"/>
    <w:rPr>
      <w:rFonts w:ascii="Calibri" w:hAnsi="Calibri" w:cs="Calibri"/>
      <w:sz w:val="22"/>
      <w:lang w:val="x-none"/>
    </w:rPr>
  </w:style>
  <w:style w:type="character" w:customStyle="1" w:styleId="PisMrk">
    <w:name w:val="Päis Märk"/>
    <w:basedOn w:val="Liguvaikefont"/>
    <w:uiPriority w:val="99"/>
    <w:semiHidden/>
    <w:rsid w:val="00CC2D80"/>
    <w:rPr>
      <w:rFonts w:ascii="Times New Roman" w:eastAsia="Calibri" w:hAnsi="Times New Roman" w:cs="Times New Roman"/>
      <w:sz w:val="24"/>
      <w:lang w:eastAsia="zh-CN"/>
    </w:rPr>
  </w:style>
  <w:style w:type="paragraph" w:styleId="Jalus">
    <w:name w:val="footer"/>
    <w:basedOn w:val="Normaallaad"/>
    <w:link w:val="JalusMrk1"/>
    <w:uiPriority w:val="99"/>
    <w:rsid w:val="00CC2D80"/>
    <w:rPr>
      <w:rFonts w:ascii="Calibri" w:hAnsi="Calibri" w:cs="Calibri"/>
      <w:sz w:val="22"/>
      <w:lang w:val="x-none"/>
    </w:rPr>
  </w:style>
  <w:style w:type="character" w:customStyle="1" w:styleId="JalusMrk">
    <w:name w:val="Jalus Märk"/>
    <w:basedOn w:val="Liguvaikefont"/>
    <w:uiPriority w:val="99"/>
    <w:rsid w:val="00CC2D80"/>
    <w:rPr>
      <w:rFonts w:ascii="Times New Roman" w:eastAsia="Calibri" w:hAnsi="Times New Roman" w:cs="Times New Roman"/>
      <w:sz w:val="24"/>
      <w:lang w:eastAsia="zh-CN"/>
    </w:rPr>
  </w:style>
  <w:style w:type="paragraph" w:styleId="Loendilik">
    <w:name w:val="List Paragraph"/>
    <w:basedOn w:val="Normaallaad"/>
    <w:uiPriority w:val="34"/>
    <w:qFormat/>
    <w:rsid w:val="00CC2D80"/>
    <w:pPr>
      <w:ind w:left="720" w:right="0"/>
      <w:jc w:val="left"/>
    </w:pPr>
    <w:rPr>
      <w:rFonts w:eastAsia="Times New Roman"/>
      <w:szCs w:val="24"/>
    </w:rPr>
  </w:style>
  <w:style w:type="character" w:customStyle="1" w:styleId="PisMrk1">
    <w:name w:val="Päis Märk1"/>
    <w:link w:val="Pis"/>
    <w:rsid w:val="00CC2D80"/>
    <w:rPr>
      <w:rFonts w:ascii="Calibri" w:eastAsia="Calibri" w:hAnsi="Calibri" w:cs="Calibri"/>
      <w:lang w:val="x-none" w:eastAsia="zh-CN"/>
    </w:rPr>
  </w:style>
  <w:style w:type="character" w:customStyle="1" w:styleId="JalusMrk1">
    <w:name w:val="Jalus Märk1"/>
    <w:link w:val="Jalus"/>
    <w:rsid w:val="00CC2D80"/>
    <w:rPr>
      <w:rFonts w:ascii="Calibri" w:eastAsia="Calibri" w:hAnsi="Calibri" w:cs="Calibri"/>
      <w:lang w:val="x-none" w:eastAsia="zh-CN"/>
    </w:rPr>
  </w:style>
  <w:style w:type="character" w:styleId="Kommentaariviide">
    <w:name w:val="annotation reference"/>
    <w:basedOn w:val="Liguvaikefont"/>
    <w:uiPriority w:val="99"/>
    <w:semiHidden/>
    <w:unhideWhenUsed/>
    <w:rsid w:val="00384329"/>
    <w:rPr>
      <w:sz w:val="16"/>
      <w:szCs w:val="16"/>
    </w:rPr>
  </w:style>
  <w:style w:type="paragraph" w:styleId="Kommentaaritekst">
    <w:name w:val="annotation text"/>
    <w:basedOn w:val="Normaallaad"/>
    <w:link w:val="KommentaaritekstMrk"/>
    <w:uiPriority w:val="99"/>
    <w:semiHidden/>
    <w:unhideWhenUsed/>
    <w:rsid w:val="00384329"/>
    <w:rPr>
      <w:sz w:val="20"/>
      <w:szCs w:val="20"/>
    </w:rPr>
  </w:style>
  <w:style w:type="character" w:customStyle="1" w:styleId="KommentaaritekstMrk">
    <w:name w:val="Kommentaari tekst Märk"/>
    <w:basedOn w:val="Liguvaikefont"/>
    <w:link w:val="Kommentaaritekst"/>
    <w:uiPriority w:val="99"/>
    <w:semiHidden/>
    <w:rsid w:val="00384329"/>
    <w:rPr>
      <w:rFonts w:ascii="Times New Roman" w:eastAsia="Calibri" w:hAnsi="Times New Roman" w:cs="Times New Roman"/>
      <w:sz w:val="20"/>
      <w:szCs w:val="20"/>
      <w:lang w:eastAsia="zh-CN"/>
    </w:rPr>
  </w:style>
  <w:style w:type="paragraph" w:styleId="Kommentaariteema">
    <w:name w:val="annotation subject"/>
    <w:basedOn w:val="Kommentaaritekst"/>
    <w:next w:val="Kommentaaritekst"/>
    <w:link w:val="KommentaariteemaMrk"/>
    <w:uiPriority w:val="99"/>
    <w:semiHidden/>
    <w:unhideWhenUsed/>
    <w:rsid w:val="00384329"/>
    <w:rPr>
      <w:b/>
      <w:bCs/>
    </w:rPr>
  </w:style>
  <w:style w:type="character" w:customStyle="1" w:styleId="KommentaariteemaMrk">
    <w:name w:val="Kommentaari teema Märk"/>
    <w:basedOn w:val="KommentaaritekstMrk"/>
    <w:link w:val="Kommentaariteema"/>
    <w:uiPriority w:val="99"/>
    <w:semiHidden/>
    <w:rsid w:val="00384329"/>
    <w:rPr>
      <w:rFonts w:ascii="Times New Roman" w:eastAsia="Calibri" w:hAnsi="Times New Roman" w:cs="Times New Roman"/>
      <w:b/>
      <w:bCs/>
      <w:sz w:val="20"/>
      <w:szCs w:val="20"/>
      <w:lang w:eastAsia="zh-CN"/>
    </w:rPr>
  </w:style>
  <w:style w:type="paragraph" w:styleId="Jutumullitekst">
    <w:name w:val="Balloon Text"/>
    <w:basedOn w:val="Normaallaad"/>
    <w:link w:val="JutumullitekstMrk"/>
    <w:uiPriority w:val="99"/>
    <w:semiHidden/>
    <w:unhideWhenUsed/>
    <w:rsid w:val="00384329"/>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84329"/>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697</Words>
  <Characters>4047</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Referent</cp:lastModifiedBy>
  <cp:revision>6</cp:revision>
  <dcterms:created xsi:type="dcterms:W3CDTF">2017-11-16T06:23:00Z</dcterms:created>
  <dcterms:modified xsi:type="dcterms:W3CDTF">2019-10-28T08:47:00Z</dcterms:modified>
</cp:coreProperties>
</file>