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B9" w:rsidRPr="00BB51B9" w:rsidRDefault="00BB51B9" w:rsidP="00BB51B9">
      <w:pPr>
        <w:pStyle w:val="Normaallaadveeb"/>
        <w:rPr>
          <w:b/>
          <w:color w:val="333333"/>
          <w:sz w:val="28"/>
          <w:szCs w:val="28"/>
        </w:rPr>
      </w:pPr>
      <w:r w:rsidRPr="00BB51B9">
        <w:rPr>
          <w:b/>
          <w:color w:val="333333"/>
          <w:sz w:val="28"/>
          <w:szCs w:val="28"/>
        </w:rPr>
        <w:t>Muudatused kalapüügieeskirjas ja püügiandmete esitamises</w:t>
      </w:r>
    </w:p>
    <w:p w:rsidR="00BB51B9" w:rsidRPr="00BB51B9" w:rsidRDefault="00BB51B9" w:rsidP="00BB51B9">
      <w:pPr>
        <w:pStyle w:val="Normaallaadveeb"/>
        <w:rPr>
          <w:color w:val="333333"/>
          <w:sz w:val="28"/>
          <w:szCs w:val="28"/>
        </w:rPr>
      </w:pPr>
      <w:r w:rsidRPr="00BB51B9">
        <w:rPr>
          <w:color w:val="333333"/>
          <w:sz w:val="28"/>
          <w:szCs w:val="28"/>
        </w:rPr>
        <w:t>Allpool on ära toodud mõned olulisemad muudatused kalapüügieeskirjas ja püügiandmete esitamises, mis hakkasid kehtima aasta algusest.</w:t>
      </w:r>
    </w:p>
    <w:p w:rsidR="00BB51B9" w:rsidRDefault="00BB51B9" w:rsidP="00BB51B9">
      <w:pPr>
        <w:pStyle w:val="Normaallaadveeb"/>
        <w:rPr>
          <w:color w:val="333333"/>
          <w:sz w:val="28"/>
          <w:szCs w:val="28"/>
        </w:rPr>
      </w:pPr>
      <w:r w:rsidRPr="00BB51B9">
        <w:rPr>
          <w:color w:val="333333"/>
          <w:sz w:val="28"/>
          <w:szCs w:val="28"/>
        </w:rPr>
        <w:t>Jadasse asetatud nakke- ja raamvõrk ei tohi harusid moodustada, välja arvatud meres võrguga, mille silmasuurus peab olema vähemalt 130 mm.</w:t>
      </w:r>
      <w:r w:rsidRPr="00BB51B9">
        <w:rPr>
          <w:color w:val="333333"/>
          <w:sz w:val="28"/>
          <w:szCs w:val="28"/>
        </w:rPr>
        <w:br/>
        <w:t>Sulgeda püünistega, välja arvatud silmutorbikute ja õngejadadega püügil, üle 1/3 vooluveekogust või vooluveekogul olevate saarte (madalike) vahelise vooluosa laiusest, siseveekogust, Võrtsjärv välja arvatud, merel väina või lahe laiusest, jättes vabaks ristlõike sügavaima osa, ning Lämmijärvel Eesti territoriaalvee laiusest, jättes vabaks laevatee.</w:t>
      </w:r>
      <w:r w:rsidRPr="00BB51B9">
        <w:rPr>
          <w:color w:val="333333"/>
          <w:sz w:val="28"/>
          <w:szCs w:val="28"/>
        </w:rPr>
        <w:br/>
        <w:t>Püüda kala harrastuspüügi vahenditega seisevpüünistele lähemal kui 25 m.</w:t>
      </w:r>
      <w:r w:rsidRPr="00BB51B9">
        <w:rPr>
          <w:color w:val="333333"/>
          <w:sz w:val="28"/>
          <w:szCs w:val="28"/>
        </w:rPr>
        <w:br/>
      </w:r>
    </w:p>
    <w:p w:rsidR="00BB51B9" w:rsidRPr="00BB51B9" w:rsidRDefault="00BB51B9" w:rsidP="00BB51B9">
      <w:pPr>
        <w:pStyle w:val="Normaallaadveeb"/>
        <w:rPr>
          <w:color w:val="333333"/>
          <w:sz w:val="28"/>
          <w:szCs w:val="28"/>
        </w:rPr>
      </w:pPr>
      <w:bookmarkStart w:id="0" w:name="_GoBack"/>
      <w:bookmarkEnd w:id="0"/>
      <w:r w:rsidRPr="00BB51B9">
        <w:rPr>
          <w:color w:val="333333"/>
          <w:sz w:val="28"/>
          <w:szCs w:val="28"/>
        </w:rPr>
        <w:t>Püügipäevikulehe veergu 5 märgitakse püügivahendi tüüp, kasutades järgmisi nimetusi või koode:</w:t>
      </w:r>
      <w:r w:rsidRPr="00BB51B9">
        <w:rPr>
          <w:color w:val="333333"/>
          <w:sz w:val="28"/>
          <w:szCs w:val="28"/>
        </w:rPr>
        <w:br/>
        <w:t>1 – kastmõrd;</w:t>
      </w:r>
    </w:p>
    <w:p w:rsidR="00BB51B9" w:rsidRPr="00BB51B9" w:rsidRDefault="00BB51B9" w:rsidP="00BB51B9">
      <w:pPr>
        <w:pStyle w:val="Normaallaadveeb"/>
        <w:rPr>
          <w:color w:val="333333"/>
          <w:sz w:val="28"/>
          <w:szCs w:val="28"/>
        </w:rPr>
      </w:pPr>
      <w:r w:rsidRPr="00BB51B9">
        <w:rPr>
          <w:color w:val="333333"/>
          <w:sz w:val="28"/>
          <w:szCs w:val="28"/>
        </w:rPr>
        <w:t>2 – avaveemõrd;</w:t>
      </w:r>
    </w:p>
    <w:p w:rsidR="00BB51B9" w:rsidRPr="00BB51B9" w:rsidRDefault="00BB51B9" w:rsidP="00BB51B9">
      <w:pPr>
        <w:pStyle w:val="Normaallaadveeb"/>
        <w:rPr>
          <w:color w:val="333333"/>
          <w:sz w:val="28"/>
          <w:szCs w:val="28"/>
        </w:rPr>
      </w:pPr>
      <w:r w:rsidRPr="00BB51B9">
        <w:rPr>
          <w:color w:val="333333"/>
          <w:sz w:val="28"/>
          <w:szCs w:val="28"/>
        </w:rPr>
        <w:t>3 – ääremõrd suu kõrgusega 1–3 m;</w:t>
      </w:r>
    </w:p>
    <w:p w:rsidR="00BB51B9" w:rsidRPr="00BB51B9" w:rsidRDefault="00BB51B9" w:rsidP="00BB51B9">
      <w:pPr>
        <w:pStyle w:val="Normaallaadveeb"/>
        <w:rPr>
          <w:color w:val="333333"/>
          <w:sz w:val="28"/>
          <w:szCs w:val="28"/>
        </w:rPr>
      </w:pPr>
      <w:r w:rsidRPr="00BB51B9">
        <w:rPr>
          <w:color w:val="333333"/>
          <w:sz w:val="28"/>
          <w:szCs w:val="28"/>
        </w:rPr>
        <w:t>4 – ääremõrd suu kõrgusega kuni 1 m;</w:t>
      </w:r>
    </w:p>
    <w:p w:rsidR="00BB51B9" w:rsidRPr="00BB51B9" w:rsidRDefault="00BB51B9" w:rsidP="00BB51B9">
      <w:pPr>
        <w:pStyle w:val="Normaallaadveeb"/>
        <w:rPr>
          <w:color w:val="333333"/>
          <w:sz w:val="28"/>
          <w:szCs w:val="28"/>
        </w:rPr>
      </w:pPr>
      <w:r w:rsidRPr="00BB51B9">
        <w:rPr>
          <w:color w:val="333333"/>
          <w:sz w:val="28"/>
          <w:szCs w:val="28"/>
        </w:rPr>
        <w:t>5 – juhtaiata mõrd;</w:t>
      </w:r>
    </w:p>
    <w:p w:rsidR="00BB51B9" w:rsidRPr="00BB51B9" w:rsidRDefault="00BB51B9" w:rsidP="00BB51B9">
      <w:pPr>
        <w:pStyle w:val="Normaallaadveeb"/>
        <w:rPr>
          <w:color w:val="333333"/>
          <w:sz w:val="28"/>
          <w:szCs w:val="28"/>
        </w:rPr>
      </w:pPr>
      <w:r w:rsidRPr="00BB51B9">
        <w:rPr>
          <w:color w:val="333333"/>
          <w:sz w:val="28"/>
          <w:szCs w:val="28"/>
        </w:rPr>
        <w:t>6 – rivimõrd;</w:t>
      </w:r>
    </w:p>
    <w:p w:rsidR="00BB51B9" w:rsidRPr="00BB51B9" w:rsidRDefault="00BB51B9" w:rsidP="00BB51B9">
      <w:pPr>
        <w:pStyle w:val="Normaallaadveeb"/>
        <w:rPr>
          <w:color w:val="333333"/>
          <w:sz w:val="28"/>
          <w:szCs w:val="28"/>
        </w:rPr>
      </w:pPr>
      <w:r w:rsidRPr="00BB51B9">
        <w:rPr>
          <w:color w:val="333333"/>
          <w:sz w:val="28"/>
          <w:szCs w:val="28"/>
        </w:rPr>
        <w:t>7 – silmutorbik;</w:t>
      </w:r>
    </w:p>
    <w:p w:rsidR="00BB51B9" w:rsidRPr="00BB51B9" w:rsidRDefault="00BB51B9" w:rsidP="00BB51B9">
      <w:pPr>
        <w:pStyle w:val="Normaallaadveeb"/>
        <w:rPr>
          <w:color w:val="333333"/>
          <w:sz w:val="28"/>
          <w:szCs w:val="28"/>
        </w:rPr>
      </w:pPr>
      <w:r w:rsidRPr="00BB51B9">
        <w:rPr>
          <w:color w:val="333333"/>
          <w:sz w:val="28"/>
          <w:szCs w:val="28"/>
        </w:rPr>
        <w:t>8 – silmumõrd;</w:t>
      </w:r>
    </w:p>
    <w:p w:rsidR="00BB51B9" w:rsidRPr="00BB51B9" w:rsidRDefault="00BB51B9" w:rsidP="00BB51B9">
      <w:pPr>
        <w:pStyle w:val="Normaallaadveeb"/>
        <w:rPr>
          <w:color w:val="333333"/>
          <w:sz w:val="28"/>
          <w:szCs w:val="28"/>
        </w:rPr>
      </w:pPr>
      <w:r w:rsidRPr="00BB51B9">
        <w:rPr>
          <w:color w:val="333333"/>
          <w:sz w:val="28"/>
          <w:szCs w:val="28"/>
        </w:rPr>
        <w:t>9 – kaldanoot;</w:t>
      </w:r>
    </w:p>
    <w:p w:rsidR="00BB51B9" w:rsidRPr="00BB51B9" w:rsidRDefault="00BB51B9" w:rsidP="00BB51B9">
      <w:pPr>
        <w:pStyle w:val="Normaallaadveeb"/>
        <w:rPr>
          <w:color w:val="333333"/>
          <w:sz w:val="28"/>
          <w:szCs w:val="28"/>
        </w:rPr>
      </w:pPr>
      <w:r w:rsidRPr="00BB51B9">
        <w:rPr>
          <w:color w:val="333333"/>
          <w:sz w:val="28"/>
          <w:szCs w:val="28"/>
        </w:rPr>
        <w:t>10 – põhjanoot;</w:t>
      </w:r>
    </w:p>
    <w:p w:rsidR="00BB51B9" w:rsidRPr="00BB51B9" w:rsidRDefault="00BB51B9" w:rsidP="00BB51B9">
      <w:pPr>
        <w:pStyle w:val="Normaallaadveeb"/>
        <w:rPr>
          <w:color w:val="333333"/>
          <w:sz w:val="28"/>
          <w:szCs w:val="28"/>
        </w:rPr>
      </w:pPr>
      <w:r w:rsidRPr="00BB51B9">
        <w:rPr>
          <w:color w:val="333333"/>
          <w:sz w:val="28"/>
          <w:szCs w:val="28"/>
        </w:rPr>
        <w:t>11 – veonoot;</w:t>
      </w:r>
    </w:p>
    <w:p w:rsidR="00BB51B9" w:rsidRPr="00BB51B9" w:rsidRDefault="00BB51B9" w:rsidP="00BB51B9">
      <w:pPr>
        <w:pStyle w:val="Normaallaadveeb"/>
        <w:rPr>
          <w:color w:val="333333"/>
          <w:sz w:val="28"/>
          <w:szCs w:val="28"/>
        </w:rPr>
      </w:pPr>
      <w:r w:rsidRPr="00BB51B9">
        <w:rPr>
          <w:color w:val="333333"/>
          <w:sz w:val="28"/>
          <w:szCs w:val="28"/>
        </w:rPr>
        <w:t>12 – õngejada;</w:t>
      </w:r>
    </w:p>
    <w:p w:rsidR="00BB51B9" w:rsidRPr="00BB51B9" w:rsidRDefault="00BB51B9" w:rsidP="00BB51B9">
      <w:pPr>
        <w:pStyle w:val="Normaallaadveeb"/>
        <w:rPr>
          <w:color w:val="333333"/>
          <w:sz w:val="28"/>
          <w:szCs w:val="28"/>
        </w:rPr>
      </w:pPr>
      <w:r w:rsidRPr="00BB51B9">
        <w:rPr>
          <w:color w:val="333333"/>
          <w:sz w:val="28"/>
          <w:szCs w:val="28"/>
        </w:rPr>
        <w:t>13 – tõstevõrk;</w:t>
      </w:r>
    </w:p>
    <w:p w:rsidR="00BB51B9" w:rsidRPr="00BB51B9" w:rsidRDefault="00BB51B9" w:rsidP="00BB51B9">
      <w:pPr>
        <w:pStyle w:val="Normaallaadveeb"/>
        <w:rPr>
          <w:color w:val="333333"/>
          <w:sz w:val="28"/>
          <w:szCs w:val="28"/>
        </w:rPr>
      </w:pPr>
      <w:r w:rsidRPr="00BB51B9">
        <w:rPr>
          <w:color w:val="333333"/>
          <w:sz w:val="28"/>
          <w:szCs w:val="28"/>
        </w:rPr>
        <w:t>14 – agariku tragi;</w:t>
      </w:r>
    </w:p>
    <w:p w:rsidR="00BB51B9" w:rsidRPr="00BB51B9" w:rsidRDefault="00BB51B9" w:rsidP="00BB51B9">
      <w:pPr>
        <w:pStyle w:val="Normaallaadveeb"/>
        <w:rPr>
          <w:color w:val="333333"/>
          <w:sz w:val="28"/>
          <w:szCs w:val="28"/>
        </w:rPr>
      </w:pPr>
      <w:r w:rsidRPr="00BB51B9">
        <w:rPr>
          <w:color w:val="333333"/>
          <w:sz w:val="28"/>
          <w:szCs w:val="28"/>
        </w:rPr>
        <w:lastRenderedPageBreak/>
        <w:t>15 – mõrd mõrrajadas;</w:t>
      </w:r>
    </w:p>
    <w:p w:rsidR="00BB51B9" w:rsidRPr="00BB51B9" w:rsidRDefault="00BB51B9" w:rsidP="00BB51B9">
      <w:pPr>
        <w:pStyle w:val="Normaallaadveeb"/>
        <w:rPr>
          <w:color w:val="333333"/>
          <w:sz w:val="28"/>
          <w:szCs w:val="28"/>
        </w:rPr>
      </w:pPr>
      <w:r w:rsidRPr="00BB51B9">
        <w:rPr>
          <w:color w:val="333333"/>
          <w:sz w:val="28"/>
          <w:szCs w:val="28"/>
        </w:rPr>
        <w:t>16 – püüvõrk;</w:t>
      </w:r>
    </w:p>
    <w:p w:rsidR="00BB51B9" w:rsidRPr="00BB51B9" w:rsidRDefault="00BB51B9" w:rsidP="00BB51B9">
      <w:pPr>
        <w:pStyle w:val="Normaallaadveeb"/>
        <w:rPr>
          <w:color w:val="333333"/>
          <w:sz w:val="28"/>
          <w:szCs w:val="28"/>
        </w:rPr>
      </w:pPr>
      <w:r w:rsidRPr="00BB51B9">
        <w:rPr>
          <w:color w:val="333333"/>
          <w:sz w:val="28"/>
          <w:szCs w:val="28"/>
        </w:rPr>
        <w:t xml:space="preserve">17 – </w:t>
      </w:r>
      <w:proofErr w:type="spellStart"/>
      <w:r w:rsidRPr="00BB51B9">
        <w:rPr>
          <w:color w:val="333333"/>
          <w:sz w:val="28"/>
          <w:szCs w:val="28"/>
        </w:rPr>
        <w:t>pöörinoot</w:t>
      </w:r>
      <w:proofErr w:type="spellEnd"/>
      <w:r w:rsidRPr="00BB51B9">
        <w:rPr>
          <w:color w:val="333333"/>
          <w:sz w:val="28"/>
          <w:szCs w:val="28"/>
        </w:rPr>
        <w:t>;</w:t>
      </w:r>
    </w:p>
    <w:p w:rsidR="00BB51B9" w:rsidRPr="00BB51B9" w:rsidRDefault="00BB51B9" w:rsidP="00BB51B9">
      <w:pPr>
        <w:pStyle w:val="Normaallaadveeb"/>
        <w:rPr>
          <w:color w:val="333333"/>
          <w:sz w:val="28"/>
          <w:szCs w:val="28"/>
        </w:rPr>
      </w:pPr>
      <w:r w:rsidRPr="00BB51B9">
        <w:rPr>
          <w:color w:val="333333"/>
          <w:sz w:val="28"/>
          <w:szCs w:val="28"/>
        </w:rPr>
        <w:t>18 – tindimõrd;</w:t>
      </w:r>
    </w:p>
    <w:p w:rsidR="00BB51B9" w:rsidRPr="00BB51B9" w:rsidRDefault="00BB51B9" w:rsidP="00BB51B9">
      <w:pPr>
        <w:pStyle w:val="Normaallaadveeb"/>
        <w:rPr>
          <w:color w:val="333333"/>
          <w:sz w:val="28"/>
          <w:szCs w:val="28"/>
        </w:rPr>
      </w:pPr>
      <w:r w:rsidRPr="00BB51B9">
        <w:rPr>
          <w:color w:val="333333"/>
          <w:sz w:val="28"/>
          <w:szCs w:val="28"/>
        </w:rPr>
        <w:t>19 – jõemõrd;</w:t>
      </w:r>
    </w:p>
    <w:p w:rsidR="00BB51B9" w:rsidRPr="00BB51B9" w:rsidRDefault="00BB51B9" w:rsidP="00BB51B9">
      <w:pPr>
        <w:pStyle w:val="Normaallaadveeb"/>
        <w:rPr>
          <w:color w:val="333333"/>
          <w:sz w:val="28"/>
          <w:szCs w:val="28"/>
        </w:rPr>
      </w:pPr>
      <w:r w:rsidRPr="00BB51B9">
        <w:rPr>
          <w:color w:val="333333"/>
          <w:sz w:val="28"/>
          <w:szCs w:val="28"/>
        </w:rPr>
        <w:t>20 – nakke- või raamvõrk või kaldavõrk silmasuurusega kuni 69 mm;</w:t>
      </w:r>
    </w:p>
    <w:p w:rsidR="00BB51B9" w:rsidRPr="00BB51B9" w:rsidRDefault="00BB51B9" w:rsidP="00BB51B9">
      <w:pPr>
        <w:pStyle w:val="Normaallaadveeb"/>
        <w:rPr>
          <w:color w:val="333333"/>
          <w:sz w:val="28"/>
          <w:szCs w:val="28"/>
        </w:rPr>
      </w:pPr>
      <w:r w:rsidRPr="00BB51B9">
        <w:rPr>
          <w:color w:val="333333"/>
          <w:sz w:val="28"/>
          <w:szCs w:val="28"/>
        </w:rPr>
        <w:t>21 – nakke- või raamvõrk või kaldavõrk silmasuurusega 70–89 mm;</w:t>
      </w:r>
    </w:p>
    <w:p w:rsidR="00BB51B9" w:rsidRPr="00BB51B9" w:rsidRDefault="00BB51B9" w:rsidP="00BB51B9">
      <w:pPr>
        <w:pStyle w:val="Normaallaadveeb"/>
        <w:rPr>
          <w:color w:val="333333"/>
          <w:sz w:val="28"/>
          <w:szCs w:val="28"/>
        </w:rPr>
      </w:pPr>
      <w:r w:rsidRPr="00BB51B9">
        <w:rPr>
          <w:color w:val="333333"/>
          <w:sz w:val="28"/>
          <w:szCs w:val="28"/>
        </w:rPr>
        <w:t>22 – nakke- või raamvõrk või avaveevõrk silmasuurusega 90–149 mm;</w:t>
      </w:r>
    </w:p>
    <w:p w:rsidR="00BB51B9" w:rsidRPr="00BB51B9" w:rsidRDefault="00BB51B9" w:rsidP="00BB51B9">
      <w:pPr>
        <w:pStyle w:val="Normaallaadveeb"/>
        <w:rPr>
          <w:color w:val="333333"/>
          <w:sz w:val="28"/>
          <w:szCs w:val="28"/>
        </w:rPr>
      </w:pPr>
      <w:r w:rsidRPr="00BB51B9">
        <w:rPr>
          <w:color w:val="333333"/>
          <w:sz w:val="28"/>
          <w:szCs w:val="28"/>
        </w:rPr>
        <w:t>23 – nakke- või raamvõrk või avaveevõrk silmasuurusega vähemalt 150 mm.</w:t>
      </w:r>
    </w:p>
    <w:p w:rsidR="00BB51B9" w:rsidRPr="00BB51B9" w:rsidRDefault="00BB51B9" w:rsidP="00BB51B9">
      <w:pPr>
        <w:pStyle w:val="Normaallaadveeb"/>
        <w:rPr>
          <w:color w:val="333333"/>
          <w:sz w:val="28"/>
          <w:szCs w:val="28"/>
        </w:rPr>
      </w:pPr>
      <w:r w:rsidRPr="00BB51B9">
        <w:rPr>
          <w:color w:val="333333"/>
          <w:sz w:val="28"/>
          <w:szCs w:val="28"/>
        </w:rPr>
        <w:t>Alates 1. jaanuarist 2017 teostab KKI järelevalvet kala ja selle käitlemise nõuetele vastavuse hindamisel kalalaeval ning kala lossimisel. Samuti hakkab KKI hindama kala transpordivahendi nõuetele vastavust.</w:t>
      </w:r>
    </w:p>
    <w:p w:rsidR="00BB51B9" w:rsidRPr="00BB51B9" w:rsidRDefault="00BB51B9" w:rsidP="00BB51B9">
      <w:pPr>
        <w:pStyle w:val="Normaallaadveeb"/>
        <w:rPr>
          <w:color w:val="333333"/>
          <w:sz w:val="28"/>
          <w:szCs w:val="28"/>
        </w:rPr>
      </w:pPr>
      <w:r w:rsidRPr="00BB51B9">
        <w:rPr>
          <w:color w:val="333333"/>
          <w:sz w:val="28"/>
          <w:szCs w:val="28"/>
        </w:rPr>
        <w:t>Alates 1. jaanuarist 2017 teostab VTA järelevalvet seni KKI pädevusalas oleva kala töötlemisettevõtte ja kala jaemüügiga tegelevate ettevõtete kala päritolu tõendavate dokumentide osas ning kala vastavuse hindamist kehtestatud alammõõdule.</w:t>
      </w:r>
    </w:p>
    <w:p w:rsidR="005235A6" w:rsidRPr="00BB51B9" w:rsidRDefault="005235A6">
      <w:pPr>
        <w:rPr>
          <w:rFonts w:ascii="Times New Roman" w:hAnsi="Times New Roman" w:cs="Times New Roman"/>
          <w:sz w:val="28"/>
          <w:szCs w:val="28"/>
        </w:rPr>
      </w:pPr>
    </w:p>
    <w:sectPr w:rsidR="005235A6" w:rsidRPr="00BB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B9"/>
    <w:rsid w:val="005235A6"/>
    <w:rsid w:val="00BB51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17BF"/>
  <w15:chartTrackingRefBased/>
  <w15:docId w15:val="{65D49B76-CEA0-4A90-AC7C-DAD60AB5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B51B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1631</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2017-02-15T10:43:00Z</dcterms:created>
  <dcterms:modified xsi:type="dcterms:W3CDTF">2017-02-15T10:45:00Z</dcterms:modified>
</cp:coreProperties>
</file>